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D3E5" w14:textId="07A3C8D0" w:rsidR="002E565F" w:rsidRPr="0022392F" w:rsidRDefault="002E565F" w:rsidP="002E565F">
      <w:pPr>
        <w:pBdr>
          <w:top w:val="single" w:sz="4" w:space="1" w:color="auto"/>
          <w:left w:val="single" w:sz="4" w:space="4" w:color="auto"/>
          <w:bottom w:val="single" w:sz="4" w:space="1" w:color="auto"/>
          <w:right w:val="single" w:sz="4" w:space="4" w:color="auto"/>
        </w:pBdr>
        <w:spacing w:after="120" w:line="312" w:lineRule="auto"/>
        <w:ind w:left="142" w:right="139"/>
        <w:rPr>
          <w:b/>
          <w:color w:val="000000" w:themeColor="text1"/>
          <w:szCs w:val="20"/>
          <w:lang w:val="en-GB"/>
        </w:rPr>
      </w:pPr>
      <w:bookmarkStart w:id="0" w:name="_Hlk86825961"/>
      <w:bookmarkStart w:id="1" w:name="_GoBack"/>
      <w:bookmarkEnd w:id="1"/>
      <w:r w:rsidRPr="0022392F">
        <w:rPr>
          <w:b/>
          <w:color w:val="000000" w:themeColor="text1"/>
          <w:szCs w:val="20"/>
          <w:lang w:val="en-GB"/>
        </w:rPr>
        <w:t>Disclaimer:</w:t>
      </w:r>
    </w:p>
    <w:p w14:paraId="1F2D3C7F" w14:textId="6673694F" w:rsidR="0033333C" w:rsidRPr="006C5B12" w:rsidRDefault="0033333C" w:rsidP="0033333C">
      <w:pPr>
        <w:pBdr>
          <w:top w:val="single" w:sz="4" w:space="1" w:color="auto"/>
          <w:left w:val="single" w:sz="4" w:space="4" w:color="auto"/>
          <w:bottom w:val="single" w:sz="4" w:space="1" w:color="auto"/>
          <w:right w:val="single" w:sz="4" w:space="4" w:color="auto"/>
        </w:pBdr>
        <w:spacing w:after="120" w:line="312" w:lineRule="auto"/>
        <w:ind w:left="142" w:right="139"/>
        <w:rPr>
          <w:szCs w:val="20"/>
          <w:lang w:val="en-GB"/>
        </w:rPr>
      </w:pPr>
      <w:r w:rsidRPr="00172715">
        <w:rPr>
          <w:color w:val="000000" w:themeColor="text1"/>
          <w:szCs w:val="20"/>
          <w:lang w:val="en-GB"/>
        </w:rPr>
        <w:t xml:space="preserve">This document was prepared by the Ad Hoc Commission </w:t>
      </w:r>
      <w:r>
        <w:rPr>
          <w:color w:val="000000" w:themeColor="text1"/>
          <w:szCs w:val="20"/>
          <w:lang w:val="en-GB"/>
        </w:rPr>
        <w:t>“</w:t>
      </w:r>
      <w:r w:rsidRPr="00172715">
        <w:rPr>
          <w:color w:val="000000" w:themeColor="text1"/>
          <w:szCs w:val="20"/>
          <w:lang w:val="en-GB"/>
        </w:rPr>
        <w:t>In Vitro Diagnostic</w:t>
      </w:r>
      <w:r>
        <w:rPr>
          <w:color w:val="000000" w:themeColor="text1"/>
          <w:szCs w:val="20"/>
          <w:lang w:val="en-GB"/>
        </w:rPr>
        <w:t xml:space="preserve"> Medical Devices”</w:t>
      </w:r>
      <w:r w:rsidRPr="00172715">
        <w:rPr>
          <w:color w:val="000000" w:themeColor="text1"/>
          <w:szCs w:val="20"/>
          <w:lang w:val="en-GB"/>
        </w:rPr>
        <w:t xml:space="preserve"> of the </w:t>
      </w:r>
      <w:r w:rsidRPr="00172715">
        <w:rPr>
          <w:i/>
          <w:iCs/>
          <w:color w:val="000000" w:themeColor="text1"/>
          <w:szCs w:val="20"/>
          <w:lang w:val="en-GB"/>
        </w:rPr>
        <w:t>Association of the Scientific Medical Societies in Germany</w:t>
      </w:r>
      <w:r w:rsidRPr="00172715">
        <w:rPr>
          <w:color w:val="000000" w:themeColor="text1"/>
          <w:szCs w:val="20"/>
          <w:lang w:val="en-GB"/>
        </w:rPr>
        <w:t xml:space="preserve"> (AWMF)</w:t>
      </w:r>
      <w:r>
        <w:rPr>
          <w:color w:val="000000" w:themeColor="text1"/>
          <w:szCs w:val="20"/>
          <w:lang w:val="en-GB"/>
        </w:rPr>
        <w:t xml:space="preserve"> in accordance with</w:t>
      </w:r>
      <w:r w:rsidRPr="00172715">
        <w:rPr>
          <w:color w:val="000000" w:themeColor="text1"/>
          <w:szCs w:val="20"/>
          <w:lang w:val="en-GB"/>
        </w:rPr>
        <w:t xml:space="preserve"> Regulation (EU) 2017/746 Art. 5 (5). </w:t>
      </w:r>
      <w:r w:rsidRPr="00EB6713">
        <w:rPr>
          <w:color w:val="000000" w:themeColor="text1"/>
          <w:szCs w:val="20"/>
          <w:lang w:val="en-GB"/>
        </w:rPr>
        <w:t>Th</w:t>
      </w:r>
      <w:r w:rsidR="00844F04">
        <w:rPr>
          <w:color w:val="000000" w:themeColor="text1"/>
          <w:szCs w:val="20"/>
          <w:lang w:val="en-GB"/>
        </w:rPr>
        <w:t>e</w:t>
      </w:r>
      <w:r w:rsidRPr="00EB6713">
        <w:rPr>
          <w:color w:val="000000" w:themeColor="text1"/>
          <w:szCs w:val="20"/>
          <w:lang w:val="en-GB"/>
        </w:rPr>
        <w:t xml:space="preserve"> document is not legally binding and serves </w:t>
      </w:r>
      <w:r>
        <w:rPr>
          <w:color w:val="000000" w:themeColor="text1"/>
          <w:szCs w:val="20"/>
          <w:lang w:val="en-GB"/>
        </w:rPr>
        <w:t>solely</w:t>
      </w:r>
      <w:r w:rsidRPr="00EB6713">
        <w:rPr>
          <w:color w:val="000000" w:themeColor="text1"/>
          <w:szCs w:val="20"/>
          <w:lang w:val="en-GB"/>
        </w:rPr>
        <w:t xml:space="preserve"> as a </w:t>
      </w:r>
      <w:r>
        <w:rPr>
          <w:color w:val="000000" w:themeColor="text1"/>
          <w:szCs w:val="20"/>
          <w:lang w:val="en-GB"/>
        </w:rPr>
        <w:t>recommendation</w:t>
      </w:r>
      <w:r w:rsidRPr="00EB6713">
        <w:rPr>
          <w:color w:val="000000" w:themeColor="text1"/>
          <w:szCs w:val="20"/>
          <w:lang w:val="en-GB"/>
        </w:rPr>
        <w:t xml:space="preserve"> for </w:t>
      </w:r>
      <w:r>
        <w:rPr>
          <w:color w:val="000000" w:themeColor="text1"/>
          <w:szCs w:val="20"/>
          <w:lang w:val="en-GB"/>
        </w:rPr>
        <w:t>implementing</w:t>
      </w:r>
      <w:r w:rsidRPr="00EB6713">
        <w:rPr>
          <w:color w:val="000000" w:themeColor="text1"/>
          <w:szCs w:val="20"/>
          <w:lang w:val="en-GB"/>
        </w:rPr>
        <w:t xml:space="preserve"> the IVDR requirements </w:t>
      </w:r>
      <w:r>
        <w:rPr>
          <w:color w:val="000000" w:themeColor="text1"/>
          <w:szCs w:val="20"/>
          <w:lang w:val="en-GB"/>
        </w:rPr>
        <w:t>in</w:t>
      </w:r>
      <w:r w:rsidRPr="00EB6713">
        <w:rPr>
          <w:color w:val="000000" w:themeColor="text1"/>
          <w:szCs w:val="20"/>
          <w:lang w:val="en-GB"/>
        </w:rPr>
        <w:t xml:space="preserve"> </w:t>
      </w:r>
      <w:r>
        <w:rPr>
          <w:color w:val="000000" w:themeColor="text1"/>
          <w:szCs w:val="20"/>
          <w:lang w:val="en-GB"/>
        </w:rPr>
        <w:t>health institutions</w:t>
      </w:r>
      <w:r w:rsidRPr="00EB6713">
        <w:rPr>
          <w:color w:val="000000" w:themeColor="text1"/>
          <w:szCs w:val="20"/>
          <w:lang w:val="en-GB"/>
        </w:rPr>
        <w:t xml:space="preserve"> that manufacture and use devices. The document reflects the current state of knowledge at the time </w:t>
      </w:r>
      <w:r>
        <w:rPr>
          <w:color w:val="000000" w:themeColor="text1"/>
          <w:szCs w:val="20"/>
          <w:lang w:val="en-GB"/>
        </w:rPr>
        <w:t>it was written</w:t>
      </w:r>
      <w:r w:rsidRPr="00EB6713">
        <w:rPr>
          <w:color w:val="000000" w:themeColor="text1"/>
          <w:szCs w:val="20"/>
          <w:lang w:val="en-GB"/>
        </w:rPr>
        <w:t xml:space="preserve"> and does not claim to be complete. The authors </w:t>
      </w:r>
      <w:r>
        <w:rPr>
          <w:color w:val="000000" w:themeColor="text1"/>
          <w:szCs w:val="20"/>
          <w:lang w:val="en-GB"/>
        </w:rPr>
        <w:t>assume</w:t>
      </w:r>
      <w:r w:rsidRPr="00EB6713">
        <w:rPr>
          <w:color w:val="000000" w:themeColor="text1"/>
          <w:szCs w:val="20"/>
          <w:lang w:val="en-GB"/>
        </w:rPr>
        <w:t xml:space="preserve"> no liability </w:t>
      </w:r>
      <w:r>
        <w:rPr>
          <w:color w:val="000000" w:themeColor="text1"/>
          <w:szCs w:val="20"/>
          <w:lang w:val="en-GB"/>
        </w:rPr>
        <w:t xml:space="preserve">whatsoever. </w:t>
      </w:r>
    </w:p>
    <w:p w14:paraId="061E5D45" w14:textId="77777777" w:rsidR="002E565F" w:rsidRPr="0022392F" w:rsidRDefault="002E565F" w:rsidP="002E565F">
      <w:pPr>
        <w:pBdr>
          <w:top w:val="single" w:sz="4" w:space="1" w:color="auto"/>
          <w:left w:val="single" w:sz="4" w:space="4" w:color="auto"/>
          <w:bottom w:val="single" w:sz="4" w:space="1" w:color="auto"/>
          <w:right w:val="single" w:sz="4" w:space="4" w:color="auto"/>
        </w:pBdr>
        <w:spacing w:after="120"/>
        <w:ind w:left="142" w:right="139"/>
        <w:rPr>
          <w:color w:val="000000" w:themeColor="text1"/>
          <w:szCs w:val="20"/>
          <w:lang w:val="en-GB"/>
        </w:rPr>
      </w:pPr>
    </w:p>
    <w:p w14:paraId="55ECD5A4" w14:textId="087BB162" w:rsidR="002E565F" w:rsidRPr="0022392F" w:rsidRDefault="0022392F" w:rsidP="002E565F">
      <w:pPr>
        <w:pStyle w:val="Standard8pt"/>
        <w:pBdr>
          <w:top w:val="single" w:sz="4" w:space="1" w:color="auto"/>
          <w:left w:val="single" w:sz="4" w:space="4" w:color="auto"/>
          <w:bottom w:val="single" w:sz="4" w:space="1" w:color="auto"/>
          <w:right w:val="single" w:sz="4" w:space="4" w:color="auto"/>
        </w:pBdr>
        <w:spacing w:line="312" w:lineRule="auto"/>
        <w:ind w:left="142" w:right="139"/>
        <w:rPr>
          <w:color w:val="auto"/>
          <w:sz w:val="20"/>
          <w:lang w:val="en-GB"/>
        </w:rPr>
      </w:pPr>
      <w:r w:rsidRPr="0022392F">
        <w:rPr>
          <w:color w:val="auto"/>
          <w:sz w:val="20"/>
          <w:lang w:val="en-GB"/>
        </w:rPr>
        <w:t>File nam</w:t>
      </w:r>
      <w:r w:rsidR="002E565F" w:rsidRPr="0022392F">
        <w:rPr>
          <w:color w:val="auto"/>
          <w:sz w:val="20"/>
          <w:lang w:val="en-GB"/>
        </w:rPr>
        <w:t>e:</w:t>
      </w:r>
      <w:r w:rsidR="002E565F" w:rsidRPr="0022392F">
        <w:rPr>
          <w:color w:val="auto"/>
          <w:sz w:val="20"/>
          <w:lang w:val="en-GB"/>
        </w:rPr>
        <w:tab/>
      </w:r>
      <w:r w:rsidR="002E565F" w:rsidRPr="0022392F">
        <w:rPr>
          <w:color w:val="auto"/>
          <w:sz w:val="20"/>
          <w:lang w:val="en-GB"/>
        </w:rPr>
        <w:tab/>
      </w:r>
      <w:proofErr w:type="spellStart"/>
      <w:r w:rsidR="002E565F" w:rsidRPr="0022392F">
        <w:rPr>
          <w:color w:val="auto"/>
          <w:sz w:val="20"/>
          <w:lang w:val="en-GB"/>
        </w:rPr>
        <w:t>AWMF_IVDR_Performance</w:t>
      </w:r>
      <w:proofErr w:type="spellEnd"/>
    </w:p>
    <w:p w14:paraId="79CCC98B" w14:textId="226C4B33" w:rsidR="002E565F" w:rsidRPr="0022392F" w:rsidRDefault="002E565F" w:rsidP="002E565F">
      <w:pPr>
        <w:pStyle w:val="Standard8pt"/>
        <w:pBdr>
          <w:top w:val="single" w:sz="4" w:space="1" w:color="auto"/>
          <w:left w:val="single" w:sz="4" w:space="4" w:color="auto"/>
          <w:bottom w:val="single" w:sz="4" w:space="1" w:color="auto"/>
          <w:right w:val="single" w:sz="4" w:space="4" w:color="auto"/>
        </w:pBdr>
        <w:spacing w:line="312" w:lineRule="auto"/>
        <w:ind w:left="142" w:right="139"/>
        <w:rPr>
          <w:color w:val="auto"/>
          <w:sz w:val="20"/>
          <w:lang w:val="en-GB"/>
        </w:rPr>
      </w:pPr>
      <w:r w:rsidRPr="0022392F">
        <w:rPr>
          <w:color w:val="auto"/>
          <w:sz w:val="20"/>
          <w:lang w:val="en-GB"/>
        </w:rPr>
        <w:t>Version:</w:t>
      </w:r>
      <w:r w:rsidRPr="0022392F">
        <w:rPr>
          <w:color w:val="auto"/>
          <w:sz w:val="20"/>
          <w:lang w:val="en-GB"/>
        </w:rPr>
        <w:tab/>
      </w:r>
      <w:r w:rsidRPr="0022392F">
        <w:rPr>
          <w:color w:val="auto"/>
          <w:sz w:val="20"/>
          <w:lang w:val="en-GB"/>
        </w:rPr>
        <w:tab/>
        <w:t>v.0</w:t>
      </w:r>
      <w:r w:rsidR="00B11D8B">
        <w:rPr>
          <w:color w:val="auto"/>
          <w:sz w:val="20"/>
          <w:lang w:val="en-GB"/>
        </w:rPr>
        <w:t>2</w:t>
      </w:r>
    </w:p>
    <w:p w14:paraId="405CD8F3" w14:textId="24DB7FE4" w:rsidR="002E565F" w:rsidRPr="0022392F" w:rsidRDefault="00844F04" w:rsidP="002E565F">
      <w:pPr>
        <w:pStyle w:val="Standard8pt"/>
        <w:pBdr>
          <w:top w:val="single" w:sz="4" w:space="1" w:color="auto"/>
          <w:left w:val="single" w:sz="4" w:space="4" w:color="auto"/>
          <w:bottom w:val="single" w:sz="4" w:space="1" w:color="auto"/>
          <w:right w:val="single" w:sz="4" w:space="4" w:color="auto"/>
        </w:pBdr>
        <w:spacing w:line="312" w:lineRule="auto"/>
        <w:ind w:left="142" w:right="139"/>
        <w:rPr>
          <w:color w:val="auto"/>
          <w:sz w:val="20"/>
          <w:lang w:val="en-GB"/>
        </w:rPr>
      </w:pPr>
      <w:r>
        <w:rPr>
          <w:color w:val="auto"/>
          <w:sz w:val="20"/>
          <w:lang w:val="en-GB"/>
        </w:rPr>
        <w:t>Date of issue</w:t>
      </w:r>
      <w:r w:rsidR="002E565F" w:rsidRPr="0022392F">
        <w:rPr>
          <w:color w:val="auto"/>
          <w:sz w:val="20"/>
          <w:lang w:val="en-GB"/>
        </w:rPr>
        <w:t>:</w:t>
      </w:r>
      <w:r w:rsidR="0022392F" w:rsidRPr="0022392F">
        <w:rPr>
          <w:color w:val="auto"/>
          <w:sz w:val="20"/>
          <w:lang w:val="en-GB"/>
        </w:rPr>
        <w:tab/>
      </w:r>
      <w:r w:rsidR="002E565F" w:rsidRPr="0022392F">
        <w:rPr>
          <w:color w:val="auto"/>
          <w:sz w:val="20"/>
          <w:lang w:val="en-GB"/>
        </w:rPr>
        <w:tab/>
        <w:t>28</w:t>
      </w:r>
      <w:r w:rsidR="0022392F" w:rsidRPr="0022392F">
        <w:rPr>
          <w:color w:val="auto"/>
          <w:sz w:val="20"/>
          <w:lang w:val="en-GB"/>
        </w:rPr>
        <w:t xml:space="preserve"> September</w:t>
      </w:r>
      <w:r w:rsidR="002E565F" w:rsidRPr="0022392F">
        <w:rPr>
          <w:color w:val="auto"/>
          <w:sz w:val="20"/>
          <w:lang w:val="en-GB"/>
        </w:rPr>
        <w:t xml:space="preserve"> 2021</w:t>
      </w:r>
    </w:p>
    <w:p w14:paraId="5F624B60" w14:textId="4DEFE139" w:rsidR="002E565F" w:rsidRPr="0022392F" w:rsidRDefault="002E565F" w:rsidP="002E565F">
      <w:pPr>
        <w:pStyle w:val="Standard8pt"/>
        <w:pBdr>
          <w:top w:val="single" w:sz="4" w:space="1" w:color="auto"/>
          <w:left w:val="single" w:sz="4" w:space="4" w:color="auto"/>
          <w:bottom w:val="single" w:sz="4" w:space="1" w:color="auto"/>
          <w:right w:val="single" w:sz="4" w:space="4" w:color="auto"/>
        </w:pBdr>
        <w:spacing w:line="312" w:lineRule="auto"/>
        <w:ind w:left="142" w:right="139"/>
        <w:jc w:val="left"/>
        <w:rPr>
          <w:color w:val="auto"/>
          <w:sz w:val="20"/>
          <w:lang w:val="en-GB"/>
        </w:rPr>
      </w:pPr>
      <w:r w:rsidRPr="0022392F">
        <w:rPr>
          <w:color w:val="auto"/>
          <w:sz w:val="20"/>
          <w:lang w:val="en-GB"/>
        </w:rPr>
        <w:t>Aut</w:t>
      </w:r>
      <w:r w:rsidR="0022392F" w:rsidRPr="0022392F">
        <w:rPr>
          <w:color w:val="auto"/>
          <w:sz w:val="20"/>
          <w:lang w:val="en-GB"/>
        </w:rPr>
        <w:t>hors</w:t>
      </w:r>
      <w:r w:rsidRPr="0022392F">
        <w:rPr>
          <w:color w:val="auto"/>
          <w:sz w:val="20"/>
          <w:lang w:val="en-GB"/>
        </w:rPr>
        <w:t>:</w:t>
      </w:r>
      <w:r w:rsidRPr="0022392F">
        <w:rPr>
          <w:color w:val="auto"/>
          <w:sz w:val="20"/>
          <w:lang w:val="en-GB"/>
        </w:rPr>
        <w:tab/>
      </w:r>
      <w:r w:rsidRPr="0022392F">
        <w:rPr>
          <w:color w:val="auto"/>
          <w:sz w:val="20"/>
          <w:lang w:val="en-GB"/>
        </w:rPr>
        <w:tab/>
        <w:t>Dombrink, Isabel</w:t>
      </w:r>
    </w:p>
    <w:p w14:paraId="6BABB431" w14:textId="0D5B2E89" w:rsidR="002E565F" w:rsidRPr="0022392F" w:rsidRDefault="002E565F" w:rsidP="002E565F">
      <w:pPr>
        <w:pStyle w:val="Standard8pt"/>
        <w:pBdr>
          <w:top w:val="single" w:sz="4" w:space="1" w:color="auto"/>
          <w:left w:val="single" w:sz="4" w:space="4" w:color="auto"/>
          <w:bottom w:val="single" w:sz="4" w:space="1" w:color="auto"/>
          <w:right w:val="single" w:sz="4" w:space="4" w:color="auto"/>
        </w:pBdr>
        <w:spacing w:line="312" w:lineRule="auto"/>
        <w:ind w:left="142" w:right="139"/>
        <w:jc w:val="left"/>
        <w:rPr>
          <w:color w:val="auto"/>
          <w:sz w:val="20"/>
          <w:lang w:val="en-GB"/>
        </w:rPr>
      </w:pPr>
      <w:r w:rsidRPr="0022392F">
        <w:rPr>
          <w:color w:val="auto"/>
          <w:sz w:val="20"/>
          <w:lang w:val="en-GB"/>
        </w:rPr>
        <w:tab/>
      </w:r>
      <w:r w:rsidRPr="0022392F">
        <w:rPr>
          <w:color w:val="auto"/>
          <w:sz w:val="20"/>
          <w:lang w:val="en-GB"/>
        </w:rPr>
        <w:tab/>
      </w:r>
      <w:r w:rsidRPr="0022392F">
        <w:rPr>
          <w:color w:val="auto"/>
          <w:sz w:val="20"/>
          <w:lang w:val="en-GB"/>
        </w:rPr>
        <w:tab/>
      </w:r>
      <w:proofErr w:type="spellStart"/>
      <w:r w:rsidRPr="0022392F">
        <w:rPr>
          <w:color w:val="auto"/>
          <w:sz w:val="20"/>
          <w:lang w:val="en-GB"/>
        </w:rPr>
        <w:t>Teubert</w:t>
      </w:r>
      <w:proofErr w:type="spellEnd"/>
      <w:r w:rsidRPr="0022392F">
        <w:rPr>
          <w:color w:val="auto"/>
          <w:sz w:val="20"/>
          <w:lang w:val="en-GB"/>
        </w:rPr>
        <w:t>, Anna</w:t>
      </w:r>
    </w:p>
    <w:p w14:paraId="7E14EA33" w14:textId="48E2B1D1" w:rsidR="002E565F" w:rsidRDefault="002E565F" w:rsidP="002E565F">
      <w:pPr>
        <w:pStyle w:val="Standard8pt"/>
        <w:pBdr>
          <w:top w:val="single" w:sz="4" w:space="1" w:color="auto"/>
          <w:left w:val="single" w:sz="4" w:space="4" w:color="auto"/>
          <w:bottom w:val="single" w:sz="4" w:space="1" w:color="auto"/>
          <w:right w:val="single" w:sz="4" w:space="4" w:color="auto"/>
        </w:pBdr>
        <w:spacing w:line="312" w:lineRule="auto"/>
        <w:ind w:left="142" w:right="139"/>
        <w:jc w:val="left"/>
        <w:rPr>
          <w:color w:val="auto"/>
          <w:sz w:val="20"/>
          <w:lang w:val="en-GB"/>
        </w:rPr>
      </w:pPr>
      <w:r w:rsidRPr="0022392F">
        <w:rPr>
          <w:color w:val="auto"/>
          <w:sz w:val="20"/>
          <w:lang w:val="en-GB"/>
        </w:rPr>
        <w:tab/>
      </w:r>
      <w:r w:rsidRPr="0022392F">
        <w:rPr>
          <w:color w:val="auto"/>
          <w:sz w:val="20"/>
          <w:lang w:val="en-GB"/>
        </w:rPr>
        <w:tab/>
      </w:r>
      <w:r w:rsidRPr="0022392F">
        <w:rPr>
          <w:color w:val="auto"/>
          <w:sz w:val="20"/>
          <w:lang w:val="en-GB"/>
        </w:rPr>
        <w:tab/>
      </w:r>
      <w:proofErr w:type="spellStart"/>
      <w:r w:rsidRPr="0022392F">
        <w:rPr>
          <w:color w:val="auto"/>
          <w:sz w:val="20"/>
          <w:lang w:val="en-GB"/>
        </w:rPr>
        <w:t>Eggermann</w:t>
      </w:r>
      <w:proofErr w:type="spellEnd"/>
      <w:r w:rsidRPr="0022392F">
        <w:rPr>
          <w:color w:val="auto"/>
          <w:sz w:val="20"/>
          <w:lang w:val="en-GB"/>
        </w:rPr>
        <w:t>, Thomas</w:t>
      </w:r>
    </w:p>
    <w:p w14:paraId="3BCC7385" w14:textId="415EDEE2" w:rsidR="00B11D8B" w:rsidRDefault="00B11D8B" w:rsidP="002E565F">
      <w:pPr>
        <w:pStyle w:val="Standard8pt"/>
        <w:pBdr>
          <w:top w:val="single" w:sz="4" w:space="1" w:color="auto"/>
          <w:left w:val="single" w:sz="4" w:space="4" w:color="auto"/>
          <w:bottom w:val="single" w:sz="4" w:space="1" w:color="auto"/>
          <w:right w:val="single" w:sz="4" w:space="4" w:color="auto"/>
        </w:pBdr>
        <w:spacing w:line="312" w:lineRule="auto"/>
        <w:ind w:left="142" w:right="139"/>
        <w:jc w:val="left"/>
        <w:rPr>
          <w:color w:val="auto"/>
          <w:sz w:val="20"/>
          <w:lang w:val="en-GB"/>
        </w:rPr>
      </w:pPr>
    </w:p>
    <w:p w14:paraId="407D2E06" w14:textId="1F8A5042" w:rsidR="002E565F" w:rsidRPr="0022392F" w:rsidRDefault="00B11D8B" w:rsidP="002E565F">
      <w:pPr>
        <w:pStyle w:val="Standard8pt"/>
        <w:pBdr>
          <w:top w:val="single" w:sz="4" w:space="1" w:color="auto"/>
          <w:left w:val="single" w:sz="4" w:space="4" w:color="auto"/>
          <w:bottom w:val="single" w:sz="4" w:space="1" w:color="auto"/>
          <w:right w:val="single" w:sz="4" w:space="4" w:color="auto"/>
        </w:pBdr>
        <w:spacing w:line="312" w:lineRule="auto"/>
        <w:ind w:left="142" w:right="139"/>
        <w:jc w:val="left"/>
        <w:rPr>
          <w:rFonts w:asciiTheme="majorHAnsi" w:eastAsiaTheme="majorEastAsia" w:hAnsiTheme="majorHAnsi" w:cstheme="majorBidi"/>
          <w:spacing w:val="-10"/>
          <w:kern w:val="28"/>
          <w:sz w:val="40"/>
          <w:szCs w:val="56"/>
          <w:lang w:val="en-GB"/>
        </w:rPr>
      </w:pPr>
      <w:r>
        <w:rPr>
          <w:color w:val="auto"/>
          <w:sz w:val="20"/>
          <w:lang w:val="en-GB"/>
        </w:rPr>
        <w:t xml:space="preserve">The English translation was kindly supported by INSTAND (Dec 2021). </w:t>
      </w:r>
      <w:bookmarkEnd w:id="0"/>
      <w:r w:rsidR="002E565F" w:rsidRPr="0022392F">
        <w:rPr>
          <w:sz w:val="40"/>
          <w:lang w:val="en-GB"/>
        </w:rPr>
        <w:br w:type="page"/>
      </w:r>
    </w:p>
    <w:p w14:paraId="08308752" w14:textId="62F65C73" w:rsidR="006514BA" w:rsidRPr="0022392F" w:rsidRDefault="000E7068" w:rsidP="00427F02">
      <w:pPr>
        <w:pStyle w:val="Titel"/>
        <w:rPr>
          <w:sz w:val="40"/>
          <w:lang w:val="en-GB"/>
        </w:rPr>
      </w:pPr>
      <w:r>
        <w:rPr>
          <w:sz w:val="40"/>
          <w:lang w:val="en-GB"/>
        </w:rPr>
        <w:lastRenderedPageBreak/>
        <w:t>The i</w:t>
      </w:r>
      <w:r w:rsidR="0022392F" w:rsidRPr="0022392F">
        <w:rPr>
          <w:sz w:val="40"/>
          <w:lang w:val="en-GB"/>
        </w:rPr>
        <w:t xml:space="preserve">mplementation of </w:t>
      </w:r>
      <w:r>
        <w:rPr>
          <w:sz w:val="40"/>
          <w:lang w:val="en-GB"/>
        </w:rPr>
        <w:t xml:space="preserve">a </w:t>
      </w:r>
      <w:r w:rsidR="0022392F" w:rsidRPr="0022392F">
        <w:rPr>
          <w:sz w:val="40"/>
          <w:lang w:val="en-GB"/>
        </w:rPr>
        <w:t xml:space="preserve">performance </w:t>
      </w:r>
      <w:r w:rsidR="007C14E2">
        <w:rPr>
          <w:sz w:val="40"/>
          <w:lang w:val="en-GB"/>
        </w:rPr>
        <w:t>evaluation</w:t>
      </w:r>
      <w:r w:rsidR="0022392F" w:rsidRPr="0022392F">
        <w:rPr>
          <w:sz w:val="40"/>
          <w:lang w:val="en-GB"/>
        </w:rPr>
        <w:t xml:space="preserve"> in </w:t>
      </w:r>
      <w:r w:rsidR="0022392F">
        <w:rPr>
          <w:sz w:val="40"/>
          <w:lang w:val="en-GB"/>
        </w:rPr>
        <w:t xml:space="preserve">medical laboratories (IH-IVD) as required by the IVDR </w:t>
      </w:r>
    </w:p>
    <w:p w14:paraId="30ACD0CA" w14:textId="2928D56D" w:rsidR="00263AF3" w:rsidRPr="0022392F" w:rsidRDefault="00263AF3" w:rsidP="00520AB9">
      <w:pPr>
        <w:pStyle w:val="berschrift1"/>
        <w:rPr>
          <w:lang w:val="en-GB"/>
        </w:rPr>
      </w:pPr>
      <w:r w:rsidRPr="0022392F">
        <w:rPr>
          <w:lang w:val="en-GB"/>
        </w:rPr>
        <w:t>An</w:t>
      </w:r>
      <w:r w:rsidR="0022392F">
        <w:rPr>
          <w:lang w:val="en-GB"/>
        </w:rPr>
        <w:t>nex</w:t>
      </w:r>
      <w:r w:rsidRPr="0022392F">
        <w:rPr>
          <w:lang w:val="en-GB"/>
        </w:rPr>
        <w:t xml:space="preserve"> I </w:t>
      </w:r>
      <w:r w:rsidR="0022392F">
        <w:rPr>
          <w:lang w:val="en-GB"/>
        </w:rPr>
        <w:t>Sections</w:t>
      </w:r>
      <w:r w:rsidRPr="0022392F">
        <w:rPr>
          <w:lang w:val="en-GB"/>
        </w:rPr>
        <w:t xml:space="preserve"> 5-8</w:t>
      </w:r>
    </w:p>
    <w:p w14:paraId="77566338" w14:textId="672F6F71" w:rsidR="009B2475" w:rsidRPr="0022392F" w:rsidRDefault="00561F1D" w:rsidP="0062699C">
      <w:pPr>
        <w:jc w:val="both"/>
        <w:rPr>
          <w:lang w:val="en-GB"/>
        </w:rPr>
      </w:pPr>
      <w:r>
        <w:rPr>
          <w:lang w:val="en-GB"/>
        </w:rPr>
        <w:t xml:space="preserve">The IVDR stipulates in </w:t>
      </w:r>
      <w:r w:rsidR="007D4458" w:rsidRPr="00554AD7">
        <w:rPr>
          <w:lang w:val="en-GB"/>
        </w:rPr>
        <w:t>Annex I, Chapter 1 - General Requirements</w:t>
      </w:r>
      <w:r w:rsidR="007D4458">
        <w:rPr>
          <w:lang w:val="en-GB"/>
        </w:rPr>
        <w:t xml:space="preserve"> </w:t>
      </w:r>
      <w:r w:rsidR="00554AD7" w:rsidRPr="00554AD7">
        <w:rPr>
          <w:lang w:val="en-GB"/>
        </w:rPr>
        <w:t xml:space="preserve">(see </w:t>
      </w:r>
      <w:r w:rsidR="00554AD7" w:rsidRPr="0022392F">
        <w:rPr>
          <w:lang w:val="en-GB"/>
        </w:rPr>
        <w:fldChar w:fldCharType="begin"/>
      </w:r>
      <w:r w:rsidR="00554AD7" w:rsidRPr="0022392F">
        <w:rPr>
          <w:lang w:val="en-GB"/>
        </w:rPr>
        <w:instrText xml:space="preserve"> REF _Ref70668481 \h </w:instrText>
      </w:r>
      <w:r w:rsidR="00554AD7" w:rsidRPr="0022392F">
        <w:rPr>
          <w:lang w:val="en-GB"/>
        </w:rPr>
      </w:r>
      <w:r w:rsidR="00554AD7" w:rsidRPr="0022392F">
        <w:rPr>
          <w:lang w:val="en-GB"/>
        </w:rPr>
        <w:fldChar w:fldCharType="separate"/>
      </w:r>
      <w:r w:rsidR="00554AD7" w:rsidRPr="0022392F">
        <w:rPr>
          <w:lang w:val="en-GB"/>
        </w:rPr>
        <w:t xml:space="preserve">Table </w:t>
      </w:r>
      <w:r w:rsidR="00554AD7" w:rsidRPr="0022392F">
        <w:rPr>
          <w:noProof/>
          <w:lang w:val="en-GB"/>
        </w:rPr>
        <w:t>1</w:t>
      </w:r>
      <w:r w:rsidR="00554AD7" w:rsidRPr="0022392F">
        <w:rPr>
          <w:lang w:val="en-GB"/>
        </w:rPr>
        <w:fldChar w:fldCharType="end"/>
      </w:r>
      <w:r w:rsidR="00554AD7" w:rsidRPr="00554AD7">
        <w:rPr>
          <w:lang w:val="en-GB"/>
        </w:rPr>
        <w:t xml:space="preserve">) that devices </w:t>
      </w:r>
      <w:r>
        <w:rPr>
          <w:lang w:val="en-GB"/>
        </w:rPr>
        <w:t xml:space="preserve">should </w:t>
      </w:r>
      <w:r w:rsidR="000E7068">
        <w:rPr>
          <w:lang w:val="en-GB"/>
        </w:rPr>
        <w:t xml:space="preserve">achieve the </w:t>
      </w:r>
      <w:r w:rsidR="00554AD7">
        <w:rPr>
          <w:lang w:val="en-GB"/>
        </w:rPr>
        <w:t>perform</w:t>
      </w:r>
      <w:r w:rsidR="000E7068">
        <w:rPr>
          <w:lang w:val="en-GB"/>
        </w:rPr>
        <w:t>ance</w:t>
      </w:r>
      <w:r w:rsidR="00554AD7">
        <w:rPr>
          <w:lang w:val="en-GB"/>
        </w:rPr>
        <w:t xml:space="preserve"> </w:t>
      </w:r>
      <w:r w:rsidR="00905464">
        <w:rPr>
          <w:lang w:val="en-GB"/>
        </w:rPr>
        <w:t>required for their intended use and</w:t>
      </w:r>
      <w:r w:rsidR="00554AD7">
        <w:rPr>
          <w:lang w:val="en-GB"/>
        </w:rPr>
        <w:t xml:space="preserve"> </w:t>
      </w:r>
      <w:r>
        <w:rPr>
          <w:lang w:val="en-GB"/>
        </w:rPr>
        <w:t xml:space="preserve">that they should </w:t>
      </w:r>
      <w:r w:rsidR="00905464">
        <w:rPr>
          <w:lang w:val="en-GB"/>
        </w:rPr>
        <w:t>maintain th</w:t>
      </w:r>
      <w:r w:rsidR="007D4458">
        <w:rPr>
          <w:lang w:val="en-GB"/>
        </w:rPr>
        <w:t>is</w:t>
      </w:r>
      <w:r w:rsidR="00554AD7">
        <w:rPr>
          <w:lang w:val="en-GB"/>
        </w:rPr>
        <w:t xml:space="preserve"> required</w:t>
      </w:r>
      <w:r w:rsidR="00905464">
        <w:rPr>
          <w:lang w:val="en-GB"/>
        </w:rPr>
        <w:t xml:space="preserve"> level of</w:t>
      </w:r>
      <w:r w:rsidR="00554AD7" w:rsidRPr="00554AD7">
        <w:rPr>
          <w:lang w:val="en-GB"/>
        </w:rPr>
        <w:t xml:space="preserve"> safety throughout the</w:t>
      </w:r>
      <w:r>
        <w:rPr>
          <w:lang w:val="en-GB"/>
        </w:rPr>
        <w:t>ir</w:t>
      </w:r>
      <w:r w:rsidR="00554AD7" w:rsidRPr="00554AD7">
        <w:rPr>
          <w:lang w:val="en-GB"/>
        </w:rPr>
        <w:t xml:space="preserve"> lifetime.</w:t>
      </w:r>
      <w:r w:rsidR="0062699C" w:rsidRPr="0022392F">
        <w:rPr>
          <w:lang w:val="en-GB"/>
        </w:rPr>
        <w:t xml:space="preserve"> </w:t>
      </w:r>
    </w:p>
    <w:p w14:paraId="48294E6F" w14:textId="2AB5BCE4" w:rsidR="009B2475" w:rsidRPr="0022392F" w:rsidRDefault="005912D7" w:rsidP="006525DE">
      <w:pPr>
        <w:pStyle w:val="Beschriftung"/>
        <w:rPr>
          <w:lang w:val="en-GB"/>
        </w:rPr>
      </w:pPr>
      <w:bookmarkStart w:id="2" w:name="_Ref70668481"/>
      <w:r w:rsidRPr="0022392F">
        <w:rPr>
          <w:lang w:val="en-GB"/>
        </w:rPr>
        <w:t xml:space="preserve">Table </w:t>
      </w:r>
      <w:r w:rsidR="00D20606" w:rsidRPr="0022392F">
        <w:rPr>
          <w:noProof/>
          <w:lang w:val="en-GB"/>
        </w:rPr>
        <w:fldChar w:fldCharType="begin"/>
      </w:r>
      <w:r w:rsidR="00D20606" w:rsidRPr="0022392F">
        <w:rPr>
          <w:noProof/>
          <w:lang w:val="en-GB"/>
        </w:rPr>
        <w:instrText xml:space="preserve"> SEQ Tabelle \* ARABIC </w:instrText>
      </w:r>
      <w:r w:rsidR="00D20606" w:rsidRPr="0022392F">
        <w:rPr>
          <w:noProof/>
          <w:lang w:val="en-GB"/>
        </w:rPr>
        <w:fldChar w:fldCharType="separate"/>
      </w:r>
      <w:r w:rsidR="00C97FD1" w:rsidRPr="0022392F">
        <w:rPr>
          <w:noProof/>
          <w:lang w:val="en-GB"/>
        </w:rPr>
        <w:t>1</w:t>
      </w:r>
      <w:r w:rsidR="00D20606" w:rsidRPr="0022392F">
        <w:rPr>
          <w:noProof/>
          <w:lang w:val="en-GB"/>
        </w:rPr>
        <w:fldChar w:fldCharType="end"/>
      </w:r>
      <w:bookmarkEnd w:id="2"/>
      <w:r w:rsidRPr="0022392F">
        <w:rPr>
          <w:lang w:val="en-GB"/>
        </w:rPr>
        <w:t xml:space="preserve"> </w:t>
      </w:r>
      <w:r w:rsidR="00840722" w:rsidRPr="0022392F">
        <w:rPr>
          <w:lang w:val="en-GB"/>
        </w:rPr>
        <w:t xml:space="preserve">IVDR - </w:t>
      </w:r>
      <w:r w:rsidR="009B2475" w:rsidRPr="0022392F">
        <w:rPr>
          <w:lang w:val="en-GB"/>
        </w:rPr>
        <w:t>An</w:t>
      </w:r>
      <w:r w:rsidR="009F747C">
        <w:rPr>
          <w:lang w:val="en-GB"/>
        </w:rPr>
        <w:t>nex</w:t>
      </w:r>
      <w:r w:rsidR="009B2475" w:rsidRPr="0022392F">
        <w:rPr>
          <w:lang w:val="en-GB"/>
        </w:rPr>
        <w:t xml:space="preserve"> I, </w:t>
      </w:r>
      <w:r w:rsidR="009F747C">
        <w:rPr>
          <w:lang w:val="en-GB"/>
        </w:rPr>
        <w:t>Chapter</w:t>
      </w:r>
      <w:r w:rsidR="009B2475" w:rsidRPr="0022392F">
        <w:rPr>
          <w:lang w:val="en-GB"/>
        </w:rPr>
        <w:t xml:space="preserve"> </w:t>
      </w:r>
      <w:r w:rsidR="004E03F6" w:rsidRPr="0022392F">
        <w:rPr>
          <w:lang w:val="en-GB"/>
        </w:rPr>
        <w:t>1</w:t>
      </w:r>
      <w:r w:rsidR="009B2475" w:rsidRPr="0022392F">
        <w:rPr>
          <w:lang w:val="en-GB"/>
        </w:rPr>
        <w:t xml:space="preserve">, </w:t>
      </w:r>
      <w:r w:rsidR="009F747C">
        <w:rPr>
          <w:lang w:val="en-GB"/>
        </w:rPr>
        <w:t>Sections</w:t>
      </w:r>
      <w:r w:rsidR="009B2475" w:rsidRPr="0022392F">
        <w:rPr>
          <w:lang w:val="en-GB"/>
        </w:rPr>
        <w:t xml:space="preserve"> </w:t>
      </w:r>
      <w:r w:rsidR="0062699C" w:rsidRPr="0022392F">
        <w:rPr>
          <w:lang w:val="en-GB"/>
        </w:rPr>
        <w:t>1</w:t>
      </w:r>
      <w:r w:rsidR="006B7D09" w:rsidRPr="0022392F">
        <w:rPr>
          <w:lang w:val="en-GB"/>
        </w:rPr>
        <w:t xml:space="preserve">, 6-8 </w:t>
      </w:r>
      <w:r w:rsidR="009F747C">
        <w:rPr>
          <w:lang w:val="en-GB"/>
        </w:rPr>
        <w:t>of the</w:t>
      </w:r>
      <w:r w:rsidR="009B2475" w:rsidRPr="0022392F">
        <w:rPr>
          <w:lang w:val="en-GB"/>
        </w:rPr>
        <w:t xml:space="preserve"> IVDR </w:t>
      </w:r>
    </w:p>
    <w:tbl>
      <w:tblPr>
        <w:tblW w:w="9072" w:type="dxa"/>
        <w:tblInd w:w="-5" w:type="dxa"/>
        <w:tblLook w:val="04A0" w:firstRow="1" w:lastRow="0" w:firstColumn="1" w:lastColumn="0" w:noHBand="0" w:noVBand="1"/>
      </w:tblPr>
      <w:tblGrid>
        <w:gridCol w:w="1263"/>
        <w:gridCol w:w="7809"/>
      </w:tblGrid>
      <w:tr w:rsidR="00DF3CAF" w:rsidRPr="0022392F" w14:paraId="5DF0CC68" w14:textId="34FB20E3" w:rsidTr="00DF3CAF">
        <w:trPr>
          <w:trHeight w:val="318"/>
        </w:trPr>
        <w:tc>
          <w:tcPr>
            <w:tcW w:w="90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C4BAB20" w14:textId="77777777" w:rsidR="00DF3CAF" w:rsidRPr="0022392F" w:rsidRDefault="00DF3CAF" w:rsidP="00607CD7">
            <w:pPr>
              <w:pStyle w:val="Default"/>
              <w:spacing w:after="60"/>
              <w:jc w:val="both"/>
              <w:rPr>
                <w:rFonts w:asciiTheme="minorHAnsi" w:hAnsiTheme="minorHAnsi" w:cstheme="minorBidi"/>
                <w:b/>
                <w:bCs/>
                <w:iCs/>
                <w:color w:val="auto"/>
                <w:sz w:val="20"/>
                <w:szCs w:val="20"/>
              </w:rPr>
            </w:pPr>
            <w:r w:rsidRPr="0022392F">
              <w:rPr>
                <w:rFonts w:asciiTheme="minorHAnsi" w:hAnsiTheme="minorHAnsi" w:cstheme="minorBidi"/>
                <w:b/>
                <w:bCs/>
                <w:iCs/>
                <w:color w:val="auto"/>
                <w:sz w:val="20"/>
                <w:szCs w:val="20"/>
              </w:rPr>
              <w:t>IVDR</w:t>
            </w:r>
          </w:p>
        </w:tc>
      </w:tr>
      <w:tr w:rsidR="00DF3CAF" w:rsidRPr="0022392F" w14:paraId="250C3F7F" w14:textId="4CE86A26" w:rsidTr="00DF3CAF">
        <w:trPr>
          <w:trHeight w:val="280"/>
        </w:trPr>
        <w:tc>
          <w:tcPr>
            <w:tcW w:w="90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9DB81B7" w14:textId="0B357F01" w:rsidR="00DF3CAF" w:rsidRPr="0022392F" w:rsidRDefault="00DF3CAF" w:rsidP="00607CD7">
            <w:pPr>
              <w:pStyle w:val="Default"/>
              <w:spacing w:after="60"/>
              <w:jc w:val="both"/>
              <w:rPr>
                <w:rFonts w:asciiTheme="minorHAnsi" w:hAnsiTheme="minorHAnsi" w:cstheme="minorBidi"/>
                <w:iCs/>
                <w:color w:val="auto"/>
                <w:sz w:val="20"/>
                <w:szCs w:val="20"/>
              </w:rPr>
            </w:pPr>
            <w:r w:rsidRPr="0022392F">
              <w:rPr>
                <w:rFonts w:asciiTheme="minorHAnsi" w:hAnsiTheme="minorHAnsi" w:cstheme="minorBidi"/>
                <w:iCs/>
                <w:color w:val="auto"/>
                <w:sz w:val="20"/>
                <w:szCs w:val="20"/>
              </w:rPr>
              <w:t>An</w:t>
            </w:r>
            <w:r w:rsidR="009F747C">
              <w:rPr>
                <w:rFonts w:asciiTheme="minorHAnsi" w:hAnsiTheme="minorHAnsi" w:cstheme="minorBidi"/>
                <w:iCs/>
                <w:color w:val="auto"/>
                <w:sz w:val="20"/>
                <w:szCs w:val="20"/>
              </w:rPr>
              <w:t>nex</w:t>
            </w:r>
            <w:r w:rsidRPr="0022392F">
              <w:rPr>
                <w:rFonts w:asciiTheme="minorHAnsi" w:hAnsiTheme="minorHAnsi" w:cstheme="minorBidi"/>
                <w:iCs/>
                <w:color w:val="auto"/>
                <w:sz w:val="20"/>
                <w:szCs w:val="20"/>
              </w:rPr>
              <w:t xml:space="preserve"> I </w:t>
            </w:r>
            <w:r w:rsidR="009F747C">
              <w:rPr>
                <w:rFonts w:asciiTheme="minorHAnsi" w:hAnsiTheme="minorHAnsi" w:cstheme="minorBidi"/>
                <w:iCs/>
                <w:color w:val="auto"/>
                <w:sz w:val="20"/>
                <w:szCs w:val="20"/>
              </w:rPr>
              <w:t>Chapter</w:t>
            </w:r>
            <w:r w:rsidRPr="0022392F">
              <w:rPr>
                <w:rFonts w:asciiTheme="minorHAnsi" w:hAnsiTheme="minorHAnsi" w:cstheme="minorBidi"/>
                <w:color w:val="auto"/>
                <w:sz w:val="20"/>
                <w:szCs w:val="20"/>
              </w:rPr>
              <w:t xml:space="preserve"> 1</w:t>
            </w:r>
          </w:p>
        </w:tc>
      </w:tr>
      <w:tr w:rsidR="00DF3CAF" w:rsidRPr="00D57BC0" w14:paraId="5608A280" w14:textId="4240ED98" w:rsidTr="00DF3CAF">
        <w:trPr>
          <w:trHeight w:val="284"/>
        </w:trPr>
        <w:tc>
          <w:tcPr>
            <w:tcW w:w="1263" w:type="dxa"/>
            <w:tcBorders>
              <w:top w:val="single" w:sz="4" w:space="0" w:color="auto"/>
              <w:left w:val="single" w:sz="4" w:space="0" w:color="auto"/>
              <w:bottom w:val="single" w:sz="4" w:space="0" w:color="auto"/>
              <w:right w:val="single" w:sz="4" w:space="0" w:color="auto"/>
            </w:tcBorders>
          </w:tcPr>
          <w:p w14:paraId="3E3E47FD" w14:textId="55744B6C" w:rsidR="00DF3CAF" w:rsidRPr="0022392F" w:rsidRDefault="009F747C" w:rsidP="006525DE">
            <w:pPr>
              <w:pStyle w:val="Default"/>
              <w:spacing w:after="60"/>
              <w:rPr>
                <w:rFonts w:asciiTheme="minorHAnsi" w:hAnsiTheme="minorHAnsi" w:cstheme="minorBidi"/>
                <w:i/>
                <w:iCs/>
                <w:color w:val="auto"/>
                <w:sz w:val="20"/>
                <w:szCs w:val="20"/>
              </w:rPr>
            </w:pPr>
            <w:r>
              <w:rPr>
                <w:rFonts w:asciiTheme="minorHAnsi" w:hAnsiTheme="minorHAnsi" w:cstheme="minorBidi"/>
                <w:i/>
                <w:color w:val="auto"/>
                <w:sz w:val="20"/>
                <w:szCs w:val="20"/>
              </w:rPr>
              <w:t>Section</w:t>
            </w:r>
            <w:r w:rsidR="00DF3CAF" w:rsidRPr="0022392F">
              <w:rPr>
                <w:rFonts w:asciiTheme="minorHAnsi" w:hAnsiTheme="minorHAnsi" w:cstheme="minorBidi"/>
                <w:i/>
                <w:color w:val="auto"/>
                <w:sz w:val="20"/>
                <w:szCs w:val="20"/>
              </w:rPr>
              <w:t xml:space="preserve"> 1</w:t>
            </w:r>
          </w:p>
        </w:tc>
        <w:tc>
          <w:tcPr>
            <w:tcW w:w="7809" w:type="dxa"/>
            <w:tcBorders>
              <w:top w:val="single" w:sz="4" w:space="0" w:color="auto"/>
              <w:left w:val="single" w:sz="4" w:space="0" w:color="auto"/>
              <w:bottom w:val="single" w:sz="4" w:space="0" w:color="auto"/>
              <w:right w:val="single" w:sz="4" w:space="0" w:color="auto"/>
            </w:tcBorders>
            <w:shd w:val="clear" w:color="auto" w:fill="auto"/>
          </w:tcPr>
          <w:p w14:paraId="765C8288" w14:textId="61B40192" w:rsidR="00DF3CAF" w:rsidRPr="0022392F" w:rsidRDefault="009F747C" w:rsidP="00CD2923">
            <w:pPr>
              <w:pStyle w:val="Default"/>
              <w:spacing w:after="60"/>
              <w:rPr>
                <w:rFonts w:asciiTheme="minorHAnsi" w:hAnsiTheme="minorHAnsi" w:cstheme="minorBidi"/>
                <w:i/>
                <w:iCs/>
                <w:color w:val="auto"/>
                <w:sz w:val="20"/>
                <w:szCs w:val="20"/>
              </w:rPr>
            </w:pPr>
            <w:r w:rsidRPr="009F747C">
              <w:rPr>
                <w:rFonts w:asciiTheme="minorHAnsi" w:hAnsiTheme="minorHAnsi" w:cstheme="minorBidi"/>
                <w:i/>
                <w:iCs/>
                <w:color w:val="auto"/>
                <w:sz w:val="20"/>
                <w:szCs w:val="20"/>
              </w:rPr>
              <w:t>Devices shall achieve the performance intended by their manufacturer and shall be designed and manufactured in such a way that, during normal conditions of use, they are suitable for their intended purpose.</w:t>
            </w:r>
            <w:r>
              <w:rPr>
                <w:shd w:val="clear" w:color="auto" w:fill="FFFFFF"/>
              </w:rPr>
              <w:t xml:space="preserve"> </w:t>
            </w:r>
          </w:p>
        </w:tc>
      </w:tr>
      <w:tr w:rsidR="00DF3CAF" w:rsidRPr="00D57BC0" w14:paraId="57ADC871" w14:textId="07162BEB" w:rsidTr="00DF3CAF">
        <w:trPr>
          <w:trHeight w:val="284"/>
        </w:trPr>
        <w:tc>
          <w:tcPr>
            <w:tcW w:w="1263" w:type="dxa"/>
            <w:tcBorders>
              <w:top w:val="single" w:sz="4" w:space="0" w:color="auto"/>
              <w:left w:val="single" w:sz="4" w:space="0" w:color="auto"/>
              <w:bottom w:val="single" w:sz="4" w:space="0" w:color="auto"/>
              <w:right w:val="single" w:sz="4" w:space="0" w:color="auto"/>
            </w:tcBorders>
          </w:tcPr>
          <w:p w14:paraId="61ECA1D5" w14:textId="7DEBB1D8" w:rsidR="00DF3CAF" w:rsidRPr="0022392F" w:rsidRDefault="009F747C" w:rsidP="006B7D09">
            <w:pPr>
              <w:pStyle w:val="Default"/>
              <w:spacing w:after="60"/>
              <w:rPr>
                <w:rFonts w:asciiTheme="minorHAnsi" w:hAnsiTheme="minorHAnsi" w:cstheme="minorBidi"/>
                <w:i/>
                <w:iCs/>
                <w:color w:val="auto"/>
                <w:sz w:val="20"/>
                <w:szCs w:val="20"/>
              </w:rPr>
            </w:pPr>
            <w:r>
              <w:rPr>
                <w:rFonts w:asciiTheme="minorHAnsi" w:hAnsiTheme="minorHAnsi" w:cstheme="minorBidi"/>
                <w:i/>
                <w:color w:val="auto"/>
                <w:sz w:val="20"/>
                <w:szCs w:val="20"/>
              </w:rPr>
              <w:t>Section</w:t>
            </w:r>
            <w:r w:rsidR="00DF3CAF" w:rsidRPr="0022392F">
              <w:rPr>
                <w:rFonts w:asciiTheme="minorHAnsi" w:hAnsiTheme="minorHAnsi" w:cstheme="minorBidi"/>
                <w:i/>
                <w:color w:val="auto"/>
                <w:sz w:val="20"/>
                <w:szCs w:val="20"/>
              </w:rPr>
              <w:t xml:space="preserve"> 6</w:t>
            </w:r>
          </w:p>
        </w:tc>
        <w:tc>
          <w:tcPr>
            <w:tcW w:w="7809" w:type="dxa"/>
            <w:tcBorders>
              <w:top w:val="single" w:sz="4" w:space="0" w:color="auto"/>
              <w:left w:val="single" w:sz="4" w:space="0" w:color="auto"/>
              <w:bottom w:val="single" w:sz="4" w:space="0" w:color="auto"/>
              <w:right w:val="single" w:sz="4" w:space="0" w:color="auto"/>
            </w:tcBorders>
            <w:shd w:val="clear" w:color="auto" w:fill="auto"/>
          </w:tcPr>
          <w:p w14:paraId="4E095925" w14:textId="68F2D6FC" w:rsidR="00DF3CAF" w:rsidRPr="0022392F" w:rsidRDefault="009F747C" w:rsidP="0062699C">
            <w:pPr>
              <w:pStyle w:val="Default"/>
              <w:spacing w:after="60"/>
              <w:rPr>
                <w:rFonts w:asciiTheme="minorHAnsi" w:hAnsiTheme="minorHAnsi" w:cstheme="minorBidi"/>
                <w:i/>
                <w:iCs/>
                <w:color w:val="auto"/>
                <w:sz w:val="20"/>
                <w:szCs w:val="20"/>
              </w:rPr>
            </w:pPr>
            <w:r w:rsidRPr="009F747C">
              <w:rPr>
                <w:rFonts w:asciiTheme="minorHAnsi" w:hAnsiTheme="minorHAnsi" w:cstheme="minorBidi"/>
                <w:i/>
                <w:iCs/>
                <w:color w:val="auto"/>
                <w:sz w:val="20"/>
                <w:szCs w:val="20"/>
              </w:rPr>
              <w:t>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r>
              <w:rPr>
                <w:shd w:val="clear" w:color="auto" w:fill="FFFFFF"/>
              </w:rPr>
              <w:t xml:space="preserve"> </w:t>
            </w:r>
          </w:p>
        </w:tc>
      </w:tr>
      <w:tr w:rsidR="00DF3CAF" w:rsidRPr="00D57BC0" w14:paraId="22811CBA" w14:textId="1D27481C" w:rsidTr="00DF3CAF">
        <w:trPr>
          <w:trHeight w:val="284"/>
        </w:trPr>
        <w:tc>
          <w:tcPr>
            <w:tcW w:w="1263" w:type="dxa"/>
            <w:tcBorders>
              <w:top w:val="single" w:sz="4" w:space="0" w:color="auto"/>
              <w:left w:val="single" w:sz="4" w:space="0" w:color="auto"/>
              <w:bottom w:val="single" w:sz="4" w:space="0" w:color="auto"/>
              <w:right w:val="single" w:sz="4" w:space="0" w:color="auto"/>
            </w:tcBorders>
          </w:tcPr>
          <w:p w14:paraId="2C7BFE3B" w14:textId="698EB57F" w:rsidR="00DF3CAF" w:rsidRPr="0022392F" w:rsidRDefault="009F747C" w:rsidP="0062699C">
            <w:pPr>
              <w:pStyle w:val="Default"/>
              <w:tabs>
                <w:tab w:val="center" w:pos="523"/>
                <w:tab w:val="right" w:pos="1047"/>
              </w:tabs>
              <w:spacing w:after="60"/>
              <w:rPr>
                <w:rFonts w:asciiTheme="minorHAnsi" w:hAnsiTheme="minorHAnsi" w:cstheme="minorBidi"/>
                <w:i/>
                <w:iCs/>
                <w:color w:val="auto"/>
                <w:sz w:val="20"/>
                <w:szCs w:val="20"/>
              </w:rPr>
            </w:pPr>
            <w:r>
              <w:rPr>
                <w:rFonts w:asciiTheme="minorHAnsi" w:hAnsiTheme="minorHAnsi" w:cstheme="minorBidi"/>
                <w:i/>
                <w:color w:val="auto"/>
                <w:sz w:val="20"/>
                <w:szCs w:val="20"/>
              </w:rPr>
              <w:t>Section</w:t>
            </w:r>
            <w:r w:rsidR="00DF3CAF" w:rsidRPr="0022392F">
              <w:rPr>
                <w:rFonts w:asciiTheme="minorHAnsi" w:hAnsiTheme="minorHAnsi" w:cstheme="minorBidi"/>
                <w:i/>
                <w:color w:val="auto"/>
                <w:sz w:val="20"/>
                <w:szCs w:val="20"/>
              </w:rPr>
              <w:t xml:space="preserve"> 7</w:t>
            </w:r>
          </w:p>
        </w:tc>
        <w:tc>
          <w:tcPr>
            <w:tcW w:w="7809" w:type="dxa"/>
            <w:tcBorders>
              <w:top w:val="single" w:sz="4" w:space="0" w:color="auto"/>
              <w:left w:val="single" w:sz="4" w:space="0" w:color="auto"/>
              <w:bottom w:val="single" w:sz="4" w:space="0" w:color="auto"/>
              <w:right w:val="single" w:sz="4" w:space="0" w:color="auto"/>
            </w:tcBorders>
            <w:shd w:val="clear" w:color="auto" w:fill="auto"/>
          </w:tcPr>
          <w:p w14:paraId="2BD4EC7C" w14:textId="4C0A2532" w:rsidR="00DF3CAF" w:rsidRPr="0022392F" w:rsidRDefault="009F747C" w:rsidP="0062699C">
            <w:pPr>
              <w:pStyle w:val="Default"/>
              <w:spacing w:after="60"/>
              <w:rPr>
                <w:rFonts w:asciiTheme="minorHAnsi" w:hAnsiTheme="minorHAnsi" w:cstheme="minorBidi"/>
                <w:i/>
                <w:iCs/>
                <w:color w:val="auto"/>
                <w:sz w:val="20"/>
                <w:szCs w:val="20"/>
              </w:rPr>
            </w:pPr>
            <w:r w:rsidRPr="009F747C">
              <w:rPr>
                <w:rFonts w:asciiTheme="minorHAnsi" w:hAnsiTheme="minorHAnsi" w:cstheme="minorBidi"/>
                <w:i/>
                <w:iCs/>
                <w:color w:val="auto"/>
                <w:sz w:val="20"/>
                <w:szCs w:val="20"/>
              </w:rPr>
              <w:t xml:space="preserve">Devices shall be designed, manufactured and packaged in such a way that their characteristics and performance during their intended use are not adversely affected during transport and storage, for example, through fluctuations in temperature and humidity, </w:t>
            </w:r>
            <w:proofErr w:type="gramStart"/>
            <w:r w:rsidRPr="009F747C">
              <w:rPr>
                <w:rFonts w:asciiTheme="minorHAnsi" w:hAnsiTheme="minorHAnsi" w:cstheme="minorBidi"/>
                <w:i/>
                <w:iCs/>
                <w:color w:val="auto"/>
                <w:sz w:val="20"/>
                <w:szCs w:val="20"/>
              </w:rPr>
              <w:t>taking into account</w:t>
            </w:r>
            <w:proofErr w:type="gramEnd"/>
            <w:r w:rsidRPr="009F747C">
              <w:rPr>
                <w:rFonts w:asciiTheme="minorHAnsi" w:hAnsiTheme="minorHAnsi" w:cstheme="minorBidi"/>
                <w:i/>
                <w:iCs/>
                <w:color w:val="auto"/>
                <w:sz w:val="20"/>
                <w:szCs w:val="20"/>
              </w:rPr>
              <w:t xml:space="preserve"> the instructions and information provided by the manufacturer.</w:t>
            </w:r>
            <w:r>
              <w:rPr>
                <w:shd w:val="clear" w:color="auto" w:fill="FFFFFF"/>
              </w:rPr>
              <w:t xml:space="preserve"> </w:t>
            </w:r>
          </w:p>
        </w:tc>
      </w:tr>
      <w:tr w:rsidR="00DF3CAF" w:rsidRPr="00D57BC0" w14:paraId="0039F7FE" w14:textId="0D8E7342" w:rsidTr="00DF3CAF">
        <w:trPr>
          <w:trHeight w:val="284"/>
        </w:trPr>
        <w:tc>
          <w:tcPr>
            <w:tcW w:w="1263" w:type="dxa"/>
            <w:tcBorders>
              <w:top w:val="single" w:sz="4" w:space="0" w:color="auto"/>
              <w:left w:val="single" w:sz="4" w:space="0" w:color="auto"/>
              <w:bottom w:val="single" w:sz="4" w:space="0" w:color="auto"/>
              <w:right w:val="single" w:sz="4" w:space="0" w:color="auto"/>
            </w:tcBorders>
          </w:tcPr>
          <w:p w14:paraId="79F633B5" w14:textId="5331658A" w:rsidR="00DF3CAF" w:rsidRPr="0022392F" w:rsidRDefault="009F747C" w:rsidP="0062699C">
            <w:pPr>
              <w:rPr>
                <w:i/>
                <w:lang w:val="en-GB"/>
              </w:rPr>
            </w:pPr>
            <w:r>
              <w:rPr>
                <w:i/>
                <w:sz w:val="20"/>
                <w:szCs w:val="20"/>
                <w:lang w:val="en-GB"/>
              </w:rPr>
              <w:t>Section</w:t>
            </w:r>
            <w:r w:rsidR="00DF3CAF" w:rsidRPr="0022392F">
              <w:rPr>
                <w:i/>
                <w:sz w:val="20"/>
                <w:szCs w:val="20"/>
                <w:lang w:val="en-GB"/>
              </w:rPr>
              <w:t xml:space="preserve"> 8</w:t>
            </w:r>
          </w:p>
        </w:tc>
        <w:tc>
          <w:tcPr>
            <w:tcW w:w="7809" w:type="dxa"/>
            <w:tcBorders>
              <w:top w:val="single" w:sz="4" w:space="0" w:color="auto"/>
              <w:left w:val="single" w:sz="4" w:space="0" w:color="auto"/>
              <w:bottom w:val="single" w:sz="4" w:space="0" w:color="auto"/>
              <w:right w:val="single" w:sz="4" w:space="0" w:color="auto"/>
            </w:tcBorders>
            <w:shd w:val="clear" w:color="auto" w:fill="auto"/>
          </w:tcPr>
          <w:p w14:paraId="752AA647" w14:textId="40DE1E4A" w:rsidR="00DF3CAF" w:rsidRPr="0022392F" w:rsidRDefault="009F747C" w:rsidP="0062699C">
            <w:pPr>
              <w:pStyle w:val="Default"/>
              <w:spacing w:after="60"/>
              <w:rPr>
                <w:rFonts w:asciiTheme="minorHAnsi" w:hAnsiTheme="minorHAnsi" w:cstheme="minorBidi"/>
                <w:i/>
                <w:iCs/>
                <w:color w:val="auto"/>
                <w:sz w:val="20"/>
                <w:szCs w:val="20"/>
              </w:rPr>
            </w:pPr>
            <w:r w:rsidRPr="009F747C">
              <w:rPr>
                <w:rFonts w:asciiTheme="minorHAnsi" w:hAnsiTheme="minorHAnsi" w:cstheme="minorBidi"/>
                <w:i/>
                <w:iCs/>
                <w:color w:val="auto"/>
                <w:sz w:val="20"/>
                <w:szCs w:val="20"/>
              </w:rPr>
              <w:t>All known and foreseeable risks, and any undesirable effects shall be minimised and be acceptable when weighed against the evaluated potential benefits to the patients and/or the user arising from the intended performance of the device during normal conditions of use.</w:t>
            </w:r>
            <w:r>
              <w:rPr>
                <w:shd w:val="clear" w:color="auto" w:fill="FFFFFF"/>
              </w:rPr>
              <w:t xml:space="preserve"> </w:t>
            </w:r>
          </w:p>
        </w:tc>
      </w:tr>
    </w:tbl>
    <w:p w14:paraId="56A0EBC5" w14:textId="0C558030" w:rsidR="0048404A" w:rsidRPr="0022392F" w:rsidRDefault="0048404A" w:rsidP="009B2475">
      <w:pPr>
        <w:jc w:val="both"/>
        <w:rPr>
          <w:lang w:val="en-GB"/>
        </w:rPr>
      </w:pPr>
    </w:p>
    <w:p w14:paraId="502CA891" w14:textId="3A8A6F15" w:rsidR="00A70541" w:rsidRPr="0022392F" w:rsidRDefault="00D11792" w:rsidP="009B2475">
      <w:pPr>
        <w:jc w:val="both"/>
        <w:rPr>
          <w:lang w:val="en-GB"/>
        </w:rPr>
      </w:pPr>
      <w:r>
        <w:rPr>
          <w:lang w:val="en-GB"/>
        </w:rPr>
        <w:t>R</w:t>
      </w:r>
      <w:r w:rsidRPr="007C14E2">
        <w:rPr>
          <w:lang w:val="en-GB"/>
        </w:rPr>
        <w:t>isk management and performance evaluation intersect</w:t>
      </w:r>
      <w:r>
        <w:rPr>
          <w:lang w:val="en-GB"/>
        </w:rPr>
        <w:t xml:space="preserve"> here</w:t>
      </w:r>
      <w:r w:rsidRPr="007C14E2">
        <w:rPr>
          <w:lang w:val="en-GB"/>
        </w:rPr>
        <w:t xml:space="preserve"> </w:t>
      </w:r>
      <w:r>
        <w:rPr>
          <w:lang w:val="en-GB"/>
        </w:rPr>
        <w:t>s</w:t>
      </w:r>
      <w:r w:rsidR="007C14E2" w:rsidRPr="007C14E2">
        <w:rPr>
          <w:lang w:val="en-GB"/>
        </w:rPr>
        <w:t xml:space="preserve">ince </w:t>
      </w:r>
      <w:r w:rsidR="007C14E2">
        <w:rPr>
          <w:lang w:val="en-GB"/>
        </w:rPr>
        <w:t xml:space="preserve">the </w:t>
      </w:r>
      <w:r w:rsidR="00905464">
        <w:rPr>
          <w:lang w:val="en-GB"/>
        </w:rPr>
        <w:t xml:space="preserve">achieved </w:t>
      </w:r>
      <w:r w:rsidR="007C14E2" w:rsidRPr="007C14E2">
        <w:rPr>
          <w:lang w:val="en-GB"/>
        </w:rPr>
        <w:t xml:space="preserve">performance must also be </w:t>
      </w:r>
      <w:r w:rsidR="007C14E2">
        <w:rPr>
          <w:lang w:val="en-GB"/>
        </w:rPr>
        <w:t>compatible</w:t>
      </w:r>
      <w:r w:rsidR="007C14E2" w:rsidRPr="007C14E2">
        <w:rPr>
          <w:lang w:val="en-GB"/>
        </w:rPr>
        <w:t xml:space="preserve"> with the potential benefit</w:t>
      </w:r>
      <w:r w:rsidR="00905464">
        <w:rPr>
          <w:lang w:val="en-GB"/>
        </w:rPr>
        <w:t>s</w:t>
      </w:r>
      <w:r>
        <w:rPr>
          <w:lang w:val="en-GB"/>
        </w:rPr>
        <w:t xml:space="preserve"> of the device</w:t>
      </w:r>
      <w:r w:rsidR="007C14E2" w:rsidRPr="007C14E2">
        <w:rPr>
          <w:lang w:val="en-GB"/>
        </w:rPr>
        <w:t xml:space="preserve">. Article 5 Section </w:t>
      </w:r>
      <w:proofErr w:type="spellStart"/>
      <w:r w:rsidR="007C14E2" w:rsidRPr="007C14E2">
        <w:rPr>
          <w:lang w:val="en-GB"/>
        </w:rPr>
        <w:t>i</w:t>
      </w:r>
      <w:proofErr w:type="spellEnd"/>
      <w:r w:rsidR="007C14E2" w:rsidRPr="007C14E2">
        <w:rPr>
          <w:lang w:val="en-GB"/>
        </w:rPr>
        <w:t xml:space="preserve">) </w:t>
      </w:r>
      <w:r w:rsidR="006A0252">
        <w:rPr>
          <w:lang w:val="en-GB"/>
        </w:rPr>
        <w:t>stipulates that</w:t>
      </w:r>
      <w:r w:rsidR="00A15C0A">
        <w:rPr>
          <w:lang w:val="en-GB"/>
        </w:rPr>
        <w:t xml:space="preserve"> an </w:t>
      </w:r>
      <w:r w:rsidR="007C14E2" w:rsidRPr="007C14E2">
        <w:rPr>
          <w:lang w:val="en-GB"/>
        </w:rPr>
        <w:t xml:space="preserve">assessment of </w:t>
      </w:r>
      <w:r w:rsidR="00A15C0A">
        <w:rPr>
          <w:lang w:val="en-GB"/>
        </w:rPr>
        <w:t xml:space="preserve">the </w:t>
      </w:r>
      <w:r w:rsidR="007C14E2" w:rsidRPr="007C14E2">
        <w:rPr>
          <w:lang w:val="en-GB"/>
        </w:rPr>
        <w:t xml:space="preserve">experience </w:t>
      </w:r>
      <w:r w:rsidR="00A15C0A">
        <w:rPr>
          <w:lang w:val="en-GB"/>
        </w:rPr>
        <w:t xml:space="preserve">gained </w:t>
      </w:r>
      <w:r w:rsidR="007C14E2" w:rsidRPr="007C14E2">
        <w:rPr>
          <w:lang w:val="en-GB"/>
        </w:rPr>
        <w:t xml:space="preserve">from </w:t>
      </w:r>
      <w:r w:rsidR="00905464">
        <w:rPr>
          <w:lang w:val="en-GB"/>
        </w:rPr>
        <w:t>its</w:t>
      </w:r>
      <w:r w:rsidR="00A15C0A">
        <w:rPr>
          <w:lang w:val="en-GB"/>
        </w:rPr>
        <w:t xml:space="preserve"> </w:t>
      </w:r>
      <w:r w:rsidR="007C14E2" w:rsidRPr="007C14E2">
        <w:rPr>
          <w:lang w:val="en-GB"/>
        </w:rPr>
        <w:t>clinical use</w:t>
      </w:r>
      <w:r w:rsidR="007D4458">
        <w:rPr>
          <w:lang w:val="en-GB"/>
        </w:rPr>
        <w:t xml:space="preserve"> </w:t>
      </w:r>
      <w:r w:rsidR="006A0252">
        <w:rPr>
          <w:lang w:val="en-GB"/>
        </w:rPr>
        <w:t>should</w:t>
      </w:r>
      <w:r w:rsidR="007D4458">
        <w:rPr>
          <w:lang w:val="en-GB"/>
        </w:rPr>
        <w:t xml:space="preserve"> be made</w:t>
      </w:r>
      <w:r w:rsidR="00A15C0A">
        <w:rPr>
          <w:lang w:val="en-GB"/>
        </w:rPr>
        <w:t>, which</w:t>
      </w:r>
      <w:r w:rsidR="007C14E2" w:rsidRPr="007C14E2">
        <w:rPr>
          <w:lang w:val="en-GB"/>
        </w:rPr>
        <w:t xml:space="preserve"> must also be </w:t>
      </w:r>
      <w:proofErr w:type="gramStart"/>
      <w:r w:rsidR="007D4458">
        <w:rPr>
          <w:lang w:val="en-GB"/>
        </w:rPr>
        <w:t>taken into account</w:t>
      </w:r>
      <w:proofErr w:type="gramEnd"/>
      <w:r w:rsidR="007C14E2" w:rsidRPr="007C14E2">
        <w:rPr>
          <w:lang w:val="en-GB"/>
        </w:rPr>
        <w:t xml:space="preserve"> in the course of the iterative risk management process.</w:t>
      </w:r>
    </w:p>
    <w:p w14:paraId="6E9595C7" w14:textId="1D81CDEF" w:rsidR="00604EA1" w:rsidRPr="0022392F" w:rsidRDefault="00604EA1" w:rsidP="00604EA1">
      <w:pPr>
        <w:pStyle w:val="Beschriftung"/>
        <w:rPr>
          <w:lang w:val="en-GB"/>
        </w:rPr>
      </w:pPr>
      <w:r w:rsidRPr="0022392F">
        <w:rPr>
          <w:lang w:val="en-GB"/>
        </w:rPr>
        <w:t xml:space="preserve">Table </w:t>
      </w:r>
      <w:r w:rsidR="00D20606" w:rsidRPr="0022392F">
        <w:rPr>
          <w:noProof/>
          <w:lang w:val="en-GB"/>
        </w:rPr>
        <w:fldChar w:fldCharType="begin"/>
      </w:r>
      <w:r w:rsidR="00D20606" w:rsidRPr="0022392F">
        <w:rPr>
          <w:noProof/>
          <w:lang w:val="en-GB"/>
        </w:rPr>
        <w:instrText xml:space="preserve"> SEQ Tabelle \* ARABIC </w:instrText>
      </w:r>
      <w:r w:rsidR="00D20606" w:rsidRPr="0022392F">
        <w:rPr>
          <w:noProof/>
          <w:lang w:val="en-GB"/>
        </w:rPr>
        <w:fldChar w:fldCharType="separate"/>
      </w:r>
      <w:r w:rsidR="00190D76" w:rsidRPr="0022392F">
        <w:rPr>
          <w:noProof/>
          <w:lang w:val="en-GB"/>
        </w:rPr>
        <w:t>2</w:t>
      </w:r>
      <w:r w:rsidR="00D20606" w:rsidRPr="0022392F">
        <w:rPr>
          <w:noProof/>
          <w:lang w:val="en-GB"/>
        </w:rPr>
        <w:fldChar w:fldCharType="end"/>
      </w:r>
      <w:r w:rsidRPr="0022392F">
        <w:rPr>
          <w:lang w:val="en-GB"/>
        </w:rPr>
        <w:t xml:space="preserve"> IVDR - </w:t>
      </w:r>
      <w:r w:rsidR="00D11792">
        <w:rPr>
          <w:lang w:val="en-GB"/>
        </w:rPr>
        <w:t>Chapter</w:t>
      </w:r>
      <w:r w:rsidRPr="0022392F">
        <w:rPr>
          <w:lang w:val="en-GB"/>
        </w:rPr>
        <w:t xml:space="preserve"> </w:t>
      </w:r>
      <w:r w:rsidR="004E03F6" w:rsidRPr="0022392F">
        <w:rPr>
          <w:lang w:val="en-GB"/>
        </w:rPr>
        <w:t>2</w:t>
      </w:r>
      <w:r w:rsidRPr="0022392F">
        <w:rPr>
          <w:lang w:val="en-GB"/>
        </w:rPr>
        <w:t xml:space="preserve">, </w:t>
      </w:r>
      <w:r w:rsidR="008355F3">
        <w:rPr>
          <w:lang w:val="en-GB"/>
        </w:rPr>
        <w:t>Article</w:t>
      </w:r>
      <w:r w:rsidR="008355F3" w:rsidRPr="0022392F">
        <w:rPr>
          <w:lang w:val="en-GB"/>
        </w:rPr>
        <w:t xml:space="preserve"> </w:t>
      </w:r>
      <w:r w:rsidR="00263AF3" w:rsidRPr="0022392F">
        <w:rPr>
          <w:lang w:val="en-GB"/>
        </w:rPr>
        <w:t>5</w:t>
      </w:r>
      <w:r w:rsidRPr="0022392F">
        <w:rPr>
          <w:lang w:val="en-GB"/>
        </w:rPr>
        <w:t xml:space="preserve"> </w:t>
      </w:r>
      <w:r w:rsidR="00D11792">
        <w:rPr>
          <w:lang w:val="en-GB"/>
        </w:rPr>
        <w:t>of the</w:t>
      </w:r>
      <w:r w:rsidRPr="0022392F">
        <w:rPr>
          <w:lang w:val="en-GB"/>
        </w:rPr>
        <w:t xml:space="preserve"> IVDR </w:t>
      </w:r>
    </w:p>
    <w:tbl>
      <w:tblPr>
        <w:tblW w:w="9072" w:type="dxa"/>
        <w:tblInd w:w="-5" w:type="dxa"/>
        <w:tblLook w:val="04A0" w:firstRow="1" w:lastRow="0" w:firstColumn="1" w:lastColumn="0" w:noHBand="0" w:noVBand="1"/>
      </w:tblPr>
      <w:tblGrid>
        <w:gridCol w:w="1276"/>
        <w:gridCol w:w="7796"/>
      </w:tblGrid>
      <w:tr w:rsidR="00604EA1" w:rsidRPr="0022392F" w14:paraId="4158CBF4" w14:textId="77777777" w:rsidTr="00D84F32">
        <w:trPr>
          <w:trHeight w:val="318"/>
        </w:trPr>
        <w:tc>
          <w:tcPr>
            <w:tcW w:w="90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B9FED20" w14:textId="77777777" w:rsidR="00604EA1" w:rsidRPr="0022392F" w:rsidRDefault="00604EA1" w:rsidP="00D84F32">
            <w:pPr>
              <w:pStyle w:val="Default"/>
              <w:spacing w:after="60"/>
              <w:jc w:val="both"/>
              <w:rPr>
                <w:rFonts w:asciiTheme="minorHAnsi" w:hAnsiTheme="minorHAnsi" w:cstheme="minorBidi"/>
                <w:b/>
                <w:bCs/>
                <w:iCs/>
                <w:color w:val="auto"/>
                <w:sz w:val="20"/>
                <w:szCs w:val="20"/>
              </w:rPr>
            </w:pPr>
            <w:r w:rsidRPr="0022392F">
              <w:rPr>
                <w:rFonts w:asciiTheme="minorHAnsi" w:hAnsiTheme="minorHAnsi" w:cstheme="minorBidi"/>
                <w:b/>
                <w:bCs/>
                <w:iCs/>
                <w:color w:val="auto"/>
                <w:sz w:val="20"/>
                <w:szCs w:val="20"/>
              </w:rPr>
              <w:t>IVDR</w:t>
            </w:r>
          </w:p>
        </w:tc>
      </w:tr>
      <w:tr w:rsidR="00604EA1" w:rsidRPr="0022392F" w14:paraId="206E4780" w14:textId="77777777" w:rsidTr="00D84F32">
        <w:trPr>
          <w:trHeight w:val="280"/>
        </w:trPr>
        <w:tc>
          <w:tcPr>
            <w:tcW w:w="90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69515B4" w14:textId="17C6076B" w:rsidR="00604EA1" w:rsidRPr="0022392F" w:rsidRDefault="00FA3D37" w:rsidP="00D84F32">
            <w:pPr>
              <w:pStyle w:val="Default"/>
              <w:spacing w:after="60"/>
              <w:jc w:val="both"/>
              <w:rPr>
                <w:rFonts w:asciiTheme="minorHAnsi" w:hAnsiTheme="minorHAnsi" w:cstheme="minorBidi"/>
                <w:iCs/>
                <w:color w:val="auto"/>
                <w:sz w:val="20"/>
                <w:szCs w:val="20"/>
              </w:rPr>
            </w:pPr>
            <w:r>
              <w:rPr>
                <w:rFonts w:asciiTheme="minorHAnsi" w:hAnsiTheme="minorHAnsi" w:cstheme="minorBidi"/>
                <w:color w:val="auto"/>
                <w:sz w:val="20"/>
                <w:szCs w:val="20"/>
              </w:rPr>
              <w:t>Chapter</w:t>
            </w:r>
            <w:r w:rsidR="00604EA1" w:rsidRPr="0022392F">
              <w:rPr>
                <w:rFonts w:asciiTheme="minorHAnsi" w:hAnsiTheme="minorHAnsi" w:cstheme="minorBidi"/>
                <w:color w:val="auto"/>
                <w:sz w:val="20"/>
                <w:szCs w:val="20"/>
              </w:rPr>
              <w:t xml:space="preserve"> </w:t>
            </w:r>
            <w:r w:rsidR="008355F3">
              <w:rPr>
                <w:rFonts w:asciiTheme="minorHAnsi" w:hAnsiTheme="minorHAnsi" w:cstheme="minorBidi"/>
                <w:color w:val="auto"/>
                <w:sz w:val="20"/>
                <w:szCs w:val="20"/>
              </w:rPr>
              <w:t>2</w:t>
            </w:r>
          </w:p>
        </w:tc>
      </w:tr>
      <w:tr w:rsidR="00604EA1" w:rsidRPr="00D57BC0" w14:paraId="2598DC7C" w14:textId="77777777" w:rsidTr="00D84F32">
        <w:trPr>
          <w:trHeight w:val="284"/>
        </w:trPr>
        <w:tc>
          <w:tcPr>
            <w:tcW w:w="1276" w:type="dxa"/>
            <w:tcBorders>
              <w:top w:val="single" w:sz="4" w:space="0" w:color="auto"/>
              <w:left w:val="single" w:sz="4" w:space="0" w:color="auto"/>
              <w:bottom w:val="single" w:sz="4" w:space="0" w:color="auto"/>
              <w:right w:val="single" w:sz="4" w:space="0" w:color="auto"/>
            </w:tcBorders>
          </w:tcPr>
          <w:p w14:paraId="41B9BA50" w14:textId="23175330" w:rsidR="00604EA1" w:rsidRPr="0022392F" w:rsidRDefault="008355F3" w:rsidP="00D84F32">
            <w:pPr>
              <w:pStyle w:val="Default"/>
              <w:spacing w:after="60"/>
              <w:rPr>
                <w:rFonts w:asciiTheme="minorHAnsi" w:hAnsiTheme="minorHAnsi" w:cstheme="minorBidi"/>
                <w:i/>
                <w:iCs/>
                <w:color w:val="auto"/>
                <w:sz w:val="20"/>
                <w:szCs w:val="20"/>
              </w:rPr>
            </w:pPr>
            <w:r>
              <w:rPr>
                <w:rFonts w:asciiTheme="minorHAnsi" w:hAnsiTheme="minorHAnsi" w:cstheme="minorBidi"/>
                <w:i/>
                <w:iCs/>
                <w:color w:val="auto"/>
                <w:sz w:val="20"/>
                <w:szCs w:val="20"/>
              </w:rPr>
              <w:t>Article</w:t>
            </w:r>
            <w:r w:rsidRPr="0022392F">
              <w:rPr>
                <w:rFonts w:asciiTheme="minorHAnsi" w:hAnsiTheme="minorHAnsi" w:cstheme="minorBidi"/>
                <w:i/>
                <w:iCs/>
                <w:color w:val="auto"/>
                <w:sz w:val="20"/>
                <w:szCs w:val="20"/>
              </w:rPr>
              <w:t xml:space="preserve"> </w:t>
            </w:r>
            <w:r w:rsidR="00604EA1" w:rsidRPr="0022392F">
              <w:rPr>
                <w:rFonts w:asciiTheme="minorHAnsi" w:hAnsiTheme="minorHAnsi" w:cstheme="minorBidi"/>
                <w:i/>
                <w:iCs/>
                <w:color w:val="auto"/>
                <w:sz w:val="20"/>
                <w:szCs w:val="20"/>
              </w:rPr>
              <w:t>5</w:t>
            </w:r>
            <w:r w:rsidR="0048404A" w:rsidRPr="0022392F">
              <w:rPr>
                <w:rFonts w:asciiTheme="minorHAnsi" w:hAnsiTheme="minorHAnsi" w:cstheme="minorBidi"/>
                <w:i/>
                <w:iCs/>
                <w:color w:val="auto"/>
                <w:sz w:val="20"/>
                <w:szCs w:val="20"/>
              </w:rPr>
              <w:t xml:space="preserve"> </w:t>
            </w:r>
            <w:proofErr w:type="spellStart"/>
            <w:r w:rsidR="0048404A" w:rsidRPr="0022392F">
              <w:rPr>
                <w:rFonts w:asciiTheme="minorHAnsi" w:hAnsiTheme="minorHAnsi" w:cstheme="minorBidi"/>
                <w:i/>
                <w:iCs/>
                <w:color w:val="auto"/>
                <w:sz w:val="20"/>
                <w:szCs w:val="20"/>
              </w:rPr>
              <w:t>i</w:t>
            </w:r>
            <w:proofErr w:type="spellEnd"/>
            <w:r w:rsidR="0048404A" w:rsidRPr="0022392F">
              <w:rPr>
                <w:rFonts w:asciiTheme="minorHAnsi" w:hAnsiTheme="minorHAnsi" w:cstheme="minorBidi"/>
                <w:i/>
                <w:iCs/>
                <w:color w:val="auto"/>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30EB093" w14:textId="51B06852" w:rsidR="00604EA1" w:rsidRPr="0022392F" w:rsidRDefault="007D4458" w:rsidP="00D84F32">
            <w:pPr>
              <w:rPr>
                <w:i/>
                <w:iCs/>
                <w:sz w:val="20"/>
                <w:szCs w:val="20"/>
                <w:lang w:val="en-GB"/>
              </w:rPr>
            </w:pPr>
            <w:r>
              <w:rPr>
                <w:i/>
                <w:iCs/>
                <w:sz w:val="20"/>
                <w:szCs w:val="20"/>
                <w:lang w:val="en-GB"/>
              </w:rPr>
              <w:t>T</w:t>
            </w:r>
            <w:r w:rsidR="00FA3D37" w:rsidRPr="00A15C0A">
              <w:rPr>
                <w:i/>
                <w:iCs/>
                <w:sz w:val="20"/>
                <w:szCs w:val="20"/>
                <w:lang w:val="en-GB"/>
              </w:rPr>
              <w:t xml:space="preserve">he health institution </w:t>
            </w:r>
            <w:r w:rsidR="00A15C0A">
              <w:rPr>
                <w:i/>
                <w:iCs/>
                <w:sz w:val="20"/>
                <w:szCs w:val="20"/>
                <w:lang w:val="en-GB"/>
              </w:rPr>
              <w:t xml:space="preserve">shall </w:t>
            </w:r>
            <w:r w:rsidR="00FA3D37" w:rsidRPr="00A15C0A">
              <w:rPr>
                <w:i/>
                <w:iCs/>
                <w:sz w:val="20"/>
                <w:szCs w:val="20"/>
                <w:lang w:val="en-GB"/>
              </w:rPr>
              <w:t>review experience gained from</w:t>
            </w:r>
            <w:r w:rsidR="00A15C0A">
              <w:rPr>
                <w:i/>
                <w:iCs/>
                <w:sz w:val="20"/>
                <w:szCs w:val="20"/>
                <w:lang w:val="en-GB"/>
              </w:rPr>
              <w:t xml:space="preserve"> the</w:t>
            </w:r>
            <w:r w:rsidR="00FA3D37" w:rsidRPr="00A15C0A">
              <w:rPr>
                <w:i/>
                <w:iCs/>
                <w:sz w:val="20"/>
                <w:szCs w:val="20"/>
                <w:lang w:val="en-GB"/>
              </w:rPr>
              <w:t xml:space="preserve"> clinical use of the devices and take all necessary corrective actions</w:t>
            </w:r>
            <w:r w:rsidR="00A15C0A" w:rsidRPr="00E1456B">
              <w:rPr>
                <w:color w:val="000000"/>
                <w:shd w:val="clear" w:color="auto" w:fill="FFFFFF"/>
                <w:lang w:val="en-GB"/>
              </w:rPr>
              <w:t xml:space="preserve"> </w:t>
            </w:r>
          </w:p>
        </w:tc>
      </w:tr>
    </w:tbl>
    <w:p w14:paraId="6595748B" w14:textId="18615032" w:rsidR="00263AF3" w:rsidRPr="0022392F" w:rsidRDefault="00263AF3" w:rsidP="00520AB9">
      <w:pPr>
        <w:pStyle w:val="berschrift1"/>
        <w:rPr>
          <w:lang w:val="en-GB"/>
        </w:rPr>
      </w:pPr>
      <w:r w:rsidRPr="0022392F">
        <w:rPr>
          <w:lang w:val="en-GB"/>
        </w:rPr>
        <w:t>An</w:t>
      </w:r>
      <w:r w:rsidR="00A15C0A">
        <w:rPr>
          <w:lang w:val="en-GB"/>
        </w:rPr>
        <w:t>nex</w:t>
      </w:r>
      <w:r w:rsidRPr="0022392F">
        <w:rPr>
          <w:lang w:val="en-GB"/>
        </w:rPr>
        <w:t xml:space="preserve"> I </w:t>
      </w:r>
      <w:r w:rsidR="00A15C0A">
        <w:rPr>
          <w:lang w:val="en-GB"/>
        </w:rPr>
        <w:t>Section</w:t>
      </w:r>
      <w:r w:rsidRPr="0022392F">
        <w:rPr>
          <w:lang w:val="en-GB"/>
        </w:rPr>
        <w:t xml:space="preserve"> 9</w:t>
      </w:r>
    </w:p>
    <w:p w14:paraId="6F2B1BE0" w14:textId="29183643" w:rsidR="00165EBD" w:rsidRPr="0022392F" w:rsidRDefault="005E36DB" w:rsidP="00520AB9">
      <w:pPr>
        <w:jc w:val="both"/>
        <w:rPr>
          <w:lang w:val="en-GB"/>
        </w:rPr>
      </w:pPr>
      <w:r>
        <w:rPr>
          <w:lang w:val="en-GB"/>
        </w:rPr>
        <w:t xml:space="preserve">Section 9 of </w:t>
      </w:r>
      <w:r w:rsidR="006B7D09" w:rsidRPr="0022392F">
        <w:rPr>
          <w:lang w:val="en-GB"/>
        </w:rPr>
        <w:t>An</w:t>
      </w:r>
      <w:r w:rsidR="00A15C0A">
        <w:rPr>
          <w:lang w:val="en-GB"/>
        </w:rPr>
        <w:t>nex</w:t>
      </w:r>
      <w:r w:rsidR="006B7D09" w:rsidRPr="0022392F">
        <w:rPr>
          <w:lang w:val="en-GB"/>
        </w:rPr>
        <w:t xml:space="preserve"> I, </w:t>
      </w:r>
      <w:r w:rsidR="00A15C0A">
        <w:rPr>
          <w:lang w:val="en-GB"/>
        </w:rPr>
        <w:t>Chapter</w:t>
      </w:r>
      <w:r w:rsidR="006B7D09" w:rsidRPr="0022392F">
        <w:rPr>
          <w:lang w:val="en-GB"/>
        </w:rPr>
        <w:t xml:space="preserve"> 2 </w:t>
      </w:r>
      <w:r w:rsidR="00A15C0A">
        <w:rPr>
          <w:lang w:val="en-GB"/>
        </w:rPr>
        <w:t>of the</w:t>
      </w:r>
      <w:r w:rsidR="006B7D09" w:rsidRPr="0022392F">
        <w:rPr>
          <w:lang w:val="en-GB"/>
        </w:rPr>
        <w:t xml:space="preserve"> IVDR – </w:t>
      </w:r>
      <w:r w:rsidR="00A15C0A">
        <w:rPr>
          <w:lang w:val="en-GB"/>
        </w:rPr>
        <w:t>Requirements Regarding Performance, Design and Manufacture</w:t>
      </w:r>
      <w:r w:rsidR="007D4458">
        <w:rPr>
          <w:lang w:val="en-GB"/>
        </w:rPr>
        <w:t xml:space="preserve"> -</w:t>
      </w:r>
      <w:r w:rsidR="00A15C0A">
        <w:rPr>
          <w:lang w:val="en-GB"/>
        </w:rPr>
        <w:t xml:space="preserve"> describes the respective performance characteristics</w:t>
      </w:r>
      <w:r w:rsidR="001E4904" w:rsidRPr="0022392F">
        <w:rPr>
          <w:lang w:val="en-GB"/>
        </w:rPr>
        <w:t>.</w:t>
      </w:r>
      <w:r w:rsidR="00165EBD" w:rsidRPr="0022392F">
        <w:rPr>
          <w:lang w:val="en-GB"/>
        </w:rPr>
        <w:t xml:space="preserve"> </w:t>
      </w:r>
    </w:p>
    <w:p w14:paraId="2EF3064A" w14:textId="6B6A02EF" w:rsidR="006F5011" w:rsidRPr="0022392F" w:rsidRDefault="00A15C0A" w:rsidP="00165EBD">
      <w:pPr>
        <w:jc w:val="both"/>
        <w:rPr>
          <w:lang w:val="en-GB"/>
        </w:rPr>
      </w:pPr>
      <w:r>
        <w:rPr>
          <w:lang w:val="en-GB"/>
        </w:rPr>
        <w:t>Section</w:t>
      </w:r>
      <w:r w:rsidR="006F5011" w:rsidRPr="0022392F">
        <w:rPr>
          <w:lang w:val="en-GB"/>
        </w:rPr>
        <w:t xml:space="preserve"> 9.1 </w:t>
      </w:r>
      <w:r>
        <w:rPr>
          <w:lang w:val="en-GB"/>
        </w:rPr>
        <w:t xml:space="preserve">makes clear that the performance characteristics to be evaluated are </w:t>
      </w:r>
      <w:r w:rsidR="007D4458">
        <w:rPr>
          <w:lang w:val="en-GB"/>
        </w:rPr>
        <w:t>linked</w:t>
      </w:r>
      <w:r>
        <w:rPr>
          <w:lang w:val="en-GB"/>
        </w:rPr>
        <w:t xml:space="preserve"> to the intended purpose of the in-house IVD (</w:t>
      </w:r>
      <w:r w:rsidR="00C226A0">
        <w:rPr>
          <w:lang w:val="en-GB"/>
        </w:rPr>
        <w:t xml:space="preserve">IH-IVD). The evaluation of the performance characteristics must ensure that the device achieves the performance required for its intended purpose. </w:t>
      </w:r>
    </w:p>
    <w:p w14:paraId="3E4C4808" w14:textId="413EA119" w:rsidR="00A97241" w:rsidRPr="0022392F" w:rsidRDefault="00C226A0" w:rsidP="00A97241">
      <w:pPr>
        <w:pStyle w:val="Kommentartext"/>
        <w:jc w:val="both"/>
        <w:rPr>
          <w:sz w:val="22"/>
          <w:szCs w:val="22"/>
          <w:lang w:val="en-GB"/>
        </w:rPr>
      </w:pPr>
      <w:r w:rsidRPr="00C226A0">
        <w:rPr>
          <w:sz w:val="22"/>
          <w:szCs w:val="22"/>
          <w:lang w:val="en-GB"/>
        </w:rPr>
        <w:t xml:space="preserve">Section 9.2 requires that </w:t>
      </w:r>
      <w:r w:rsidR="005E36DB">
        <w:rPr>
          <w:sz w:val="22"/>
          <w:szCs w:val="22"/>
          <w:lang w:val="en-GB"/>
        </w:rPr>
        <w:t xml:space="preserve">the </w:t>
      </w:r>
      <w:r w:rsidRPr="00C226A0">
        <w:rPr>
          <w:sz w:val="22"/>
          <w:szCs w:val="22"/>
          <w:lang w:val="en-GB"/>
        </w:rPr>
        <w:t xml:space="preserve">performance characteristics </w:t>
      </w:r>
      <w:r>
        <w:rPr>
          <w:sz w:val="22"/>
          <w:szCs w:val="22"/>
          <w:lang w:val="en-GB"/>
        </w:rPr>
        <w:t>be</w:t>
      </w:r>
      <w:r w:rsidRPr="00C226A0">
        <w:rPr>
          <w:sz w:val="22"/>
          <w:szCs w:val="22"/>
          <w:lang w:val="en-GB"/>
        </w:rPr>
        <w:t xml:space="preserve"> </w:t>
      </w:r>
      <w:r w:rsidR="005E36DB">
        <w:rPr>
          <w:sz w:val="22"/>
          <w:szCs w:val="22"/>
          <w:lang w:val="en-GB"/>
        </w:rPr>
        <w:t>main</w:t>
      </w:r>
      <w:r w:rsidRPr="00C226A0">
        <w:rPr>
          <w:sz w:val="22"/>
          <w:szCs w:val="22"/>
          <w:lang w:val="en-GB"/>
        </w:rPr>
        <w:t>tained throughout the life</w:t>
      </w:r>
      <w:r>
        <w:rPr>
          <w:sz w:val="22"/>
          <w:szCs w:val="22"/>
          <w:lang w:val="en-GB"/>
        </w:rPr>
        <w:t>time</w:t>
      </w:r>
      <w:r w:rsidRPr="00C226A0">
        <w:rPr>
          <w:sz w:val="22"/>
          <w:szCs w:val="22"/>
          <w:lang w:val="en-GB"/>
        </w:rPr>
        <w:t xml:space="preserve"> of the </w:t>
      </w:r>
      <w:r>
        <w:rPr>
          <w:sz w:val="22"/>
          <w:szCs w:val="22"/>
          <w:lang w:val="en-GB"/>
        </w:rPr>
        <w:t>device</w:t>
      </w:r>
      <w:r w:rsidRPr="00C226A0">
        <w:rPr>
          <w:sz w:val="22"/>
          <w:szCs w:val="22"/>
          <w:lang w:val="en-GB"/>
        </w:rPr>
        <w:t xml:space="preserve">. </w:t>
      </w:r>
      <w:r>
        <w:rPr>
          <w:sz w:val="22"/>
          <w:szCs w:val="22"/>
          <w:lang w:val="en-GB"/>
        </w:rPr>
        <w:t>This is ensured by</w:t>
      </w:r>
      <w:r w:rsidRPr="00C226A0">
        <w:rPr>
          <w:sz w:val="22"/>
          <w:szCs w:val="22"/>
          <w:lang w:val="en-GB"/>
        </w:rPr>
        <w:t xml:space="preserve"> internal controls</w:t>
      </w:r>
      <w:r>
        <w:rPr>
          <w:sz w:val="22"/>
          <w:szCs w:val="22"/>
          <w:lang w:val="en-GB"/>
        </w:rPr>
        <w:t xml:space="preserve"> which</w:t>
      </w:r>
      <w:r w:rsidRPr="00C226A0">
        <w:rPr>
          <w:sz w:val="22"/>
          <w:szCs w:val="22"/>
          <w:lang w:val="en-GB"/>
        </w:rPr>
        <w:t xml:space="preserve">, for example, are </w:t>
      </w:r>
      <w:r>
        <w:rPr>
          <w:sz w:val="22"/>
          <w:szCs w:val="22"/>
          <w:lang w:val="en-GB"/>
        </w:rPr>
        <w:t>assessed</w:t>
      </w:r>
      <w:r w:rsidRPr="00C226A0">
        <w:rPr>
          <w:sz w:val="22"/>
          <w:szCs w:val="22"/>
          <w:lang w:val="en-GB"/>
        </w:rPr>
        <w:t xml:space="preserve"> as part of the plausibility </w:t>
      </w:r>
      <w:r w:rsidRPr="00C226A0">
        <w:rPr>
          <w:sz w:val="22"/>
          <w:szCs w:val="22"/>
          <w:lang w:val="en-GB"/>
        </w:rPr>
        <w:lastRenderedPageBreak/>
        <w:t xml:space="preserve">check of </w:t>
      </w:r>
      <w:r>
        <w:rPr>
          <w:sz w:val="22"/>
          <w:szCs w:val="22"/>
          <w:lang w:val="en-GB"/>
        </w:rPr>
        <w:t>test</w:t>
      </w:r>
      <w:r w:rsidRPr="00C226A0">
        <w:rPr>
          <w:sz w:val="22"/>
          <w:szCs w:val="22"/>
          <w:lang w:val="en-GB"/>
        </w:rPr>
        <w:t xml:space="preserve"> results and can allow conclusions to be drawn about the performance of a</w:t>
      </w:r>
      <w:r w:rsidR="006A0252">
        <w:rPr>
          <w:sz w:val="22"/>
          <w:szCs w:val="22"/>
          <w:lang w:val="en-GB"/>
        </w:rPr>
        <w:t>n examination</w:t>
      </w:r>
      <w:r w:rsidR="00102CE9">
        <w:rPr>
          <w:sz w:val="22"/>
          <w:szCs w:val="22"/>
          <w:lang w:val="en-GB"/>
        </w:rPr>
        <w:t xml:space="preserve"> </w:t>
      </w:r>
      <w:r w:rsidRPr="00C226A0">
        <w:rPr>
          <w:sz w:val="22"/>
          <w:szCs w:val="22"/>
          <w:lang w:val="en-GB"/>
        </w:rPr>
        <w:t xml:space="preserve">procedure or IH-IVD. </w:t>
      </w:r>
      <w:r w:rsidR="00102CE9" w:rsidRPr="00102CE9">
        <w:rPr>
          <w:sz w:val="22"/>
          <w:szCs w:val="22"/>
          <w:lang w:val="en-GB"/>
        </w:rPr>
        <w:t>A further check of the performance characteristics can also be carried out through the medical validation of the test results. Likewise, external quality assurance measures</w:t>
      </w:r>
      <w:r w:rsidR="007D4458">
        <w:rPr>
          <w:sz w:val="22"/>
          <w:szCs w:val="22"/>
          <w:lang w:val="en-GB"/>
        </w:rPr>
        <w:t>,</w:t>
      </w:r>
      <w:r w:rsidR="00102CE9" w:rsidRPr="00102CE9">
        <w:rPr>
          <w:sz w:val="22"/>
          <w:szCs w:val="22"/>
          <w:lang w:val="en-GB"/>
        </w:rPr>
        <w:t xml:space="preserve"> such as </w:t>
      </w:r>
      <w:r w:rsidR="00102CE9">
        <w:rPr>
          <w:sz w:val="22"/>
          <w:szCs w:val="22"/>
          <w:lang w:val="en-GB"/>
        </w:rPr>
        <w:t>EQA</w:t>
      </w:r>
      <w:r w:rsidR="00917091">
        <w:rPr>
          <w:sz w:val="22"/>
          <w:szCs w:val="22"/>
          <w:lang w:val="en-GB"/>
        </w:rPr>
        <w:t xml:space="preserve"> schemes</w:t>
      </w:r>
      <w:r w:rsidR="00102CE9" w:rsidRPr="00102CE9">
        <w:rPr>
          <w:sz w:val="22"/>
          <w:szCs w:val="22"/>
          <w:lang w:val="en-GB"/>
        </w:rPr>
        <w:t xml:space="preserve"> and </w:t>
      </w:r>
      <w:r w:rsidR="006A0252">
        <w:rPr>
          <w:sz w:val="22"/>
          <w:szCs w:val="22"/>
          <w:lang w:val="en-GB"/>
        </w:rPr>
        <w:t>inter</w:t>
      </w:r>
      <w:r w:rsidR="00102CE9" w:rsidRPr="00102CE9">
        <w:rPr>
          <w:sz w:val="22"/>
          <w:szCs w:val="22"/>
          <w:lang w:val="en-GB"/>
        </w:rPr>
        <w:t xml:space="preserve">laboratory comparisons serve </w:t>
      </w:r>
      <w:r w:rsidR="00102CE9">
        <w:rPr>
          <w:sz w:val="22"/>
          <w:szCs w:val="22"/>
          <w:lang w:val="en-GB"/>
        </w:rPr>
        <w:t xml:space="preserve">as a way </w:t>
      </w:r>
      <w:r w:rsidR="00102CE9" w:rsidRPr="00102CE9">
        <w:rPr>
          <w:sz w:val="22"/>
          <w:szCs w:val="22"/>
          <w:lang w:val="en-GB"/>
        </w:rPr>
        <w:t xml:space="preserve">to monitor </w:t>
      </w:r>
      <w:r w:rsidR="00102CE9">
        <w:rPr>
          <w:sz w:val="22"/>
          <w:szCs w:val="22"/>
          <w:lang w:val="en-GB"/>
        </w:rPr>
        <w:t>whether</w:t>
      </w:r>
      <w:r w:rsidR="00102CE9" w:rsidRPr="00102CE9">
        <w:rPr>
          <w:sz w:val="22"/>
          <w:szCs w:val="22"/>
          <w:lang w:val="en-GB"/>
        </w:rPr>
        <w:t xml:space="preserve"> the performance characteristics are</w:t>
      </w:r>
      <w:r w:rsidR="005E36DB">
        <w:rPr>
          <w:sz w:val="22"/>
          <w:szCs w:val="22"/>
          <w:lang w:val="en-GB"/>
        </w:rPr>
        <w:t xml:space="preserve"> being</w:t>
      </w:r>
      <w:r w:rsidR="00102CE9" w:rsidRPr="00102CE9">
        <w:rPr>
          <w:sz w:val="22"/>
          <w:szCs w:val="22"/>
          <w:lang w:val="en-GB"/>
        </w:rPr>
        <w:t xml:space="preserve"> </w:t>
      </w:r>
      <w:r w:rsidR="005E36DB">
        <w:rPr>
          <w:sz w:val="22"/>
          <w:szCs w:val="22"/>
          <w:lang w:val="en-GB"/>
        </w:rPr>
        <w:t>main</w:t>
      </w:r>
      <w:r w:rsidR="00102CE9" w:rsidRPr="00102CE9">
        <w:rPr>
          <w:sz w:val="22"/>
          <w:szCs w:val="22"/>
          <w:lang w:val="en-GB"/>
        </w:rPr>
        <w:t xml:space="preserve">tained </w:t>
      </w:r>
      <w:r w:rsidR="005E36DB">
        <w:rPr>
          <w:sz w:val="22"/>
          <w:szCs w:val="22"/>
          <w:lang w:val="en-GB"/>
        </w:rPr>
        <w:t>throughout</w:t>
      </w:r>
      <w:r w:rsidR="00102CE9" w:rsidRPr="00102CE9">
        <w:rPr>
          <w:sz w:val="22"/>
          <w:szCs w:val="22"/>
          <w:lang w:val="en-GB"/>
        </w:rPr>
        <w:t xml:space="preserve"> the </w:t>
      </w:r>
      <w:r w:rsidR="00102CE9">
        <w:rPr>
          <w:sz w:val="22"/>
          <w:szCs w:val="22"/>
          <w:lang w:val="en-GB"/>
        </w:rPr>
        <w:t>l</w:t>
      </w:r>
      <w:r w:rsidR="00102CE9" w:rsidRPr="00102CE9">
        <w:rPr>
          <w:sz w:val="22"/>
          <w:szCs w:val="22"/>
          <w:lang w:val="en-GB"/>
        </w:rPr>
        <w:t>ife</w:t>
      </w:r>
      <w:r w:rsidR="00102CE9">
        <w:rPr>
          <w:sz w:val="22"/>
          <w:szCs w:val="22"/>
          <w:lang w:val="en-GB"/>
        </w:rPr>
        <w:t>time of the device</w:t>
      </w:r>
      <w:r w:rsidR="00102CE9" w:rsidRPr="00102CE9">
        <w:rPr>
          <w:sz w:val="22"/>
          <w:szCs w:val="22"/>
          <w:lang w:val="en-GB"/>
        </w:rPr>
        <w:t>.</w:t>
      </w:r>
      <w:r w:rsidR="00102CE9">
        <w:rPr>
          <w:sz w:val="22"/>
          <w:szCs w:val="22"/>
          <w:lang w:val="en-GB"/>
        </w:rPr>
        <w:t xml:space="preserve"> </w:t>
      </w:r>
    </w:p>
    <w:p w14:paraId="4183DFBD" w14:textId="1CC84407" w:rsidR="00165EBD" w:rsidRPr="0022392F" w:rsidRDefault="000F5232" w:rsidP="00165EBD">
      <w:pPr>
        <w:jc w:val="both"/>
        <w:rPr>
          <w:lang w:val="en-GB"/>
        </w:rPr>
      </w:pPr>
      <w:r w:rsidRPr="000F5232">
        <w:rPr>
          <w:lang w:val="en-GB"/>
        </w:rPr>
        <w:t xml:space="preserve">Section 9.3 describes the requirements of the IVDR </w:t>
      </w:r>
      <w:r>
        <w:rPr>
          <w:lang w:val="en-GB"/>
        </w:rPr>
        <w:t>when</w:t>
      </w:r>
      <w:r w:rsidRPr="000F5232">
        <w:rPr>
          <w:lang w:val="en-GB"/>
        </w:rPr>
        <w:t xml:space="preserve"> the performance of the IH-IVD is linked to calibrators and/or control materials. For further guidance, see </w:t>
      </w:r>
      <w:r w:rsidR="006C1BDB">
        <w:rPr>
          <w:lang w:val="en-GB"/>
        </w:rPr>
        <w:t xml:space="preserve">the </w:t>
      </w:r>
      <w:r w:rsidR="006C1BDB" w:rsidRPr="000F5232">
        <w:rPr>
          <w:lang w:val="en-GB"/>
        </w:rPr>
        <w:t xml:space="preserve">Checklist </w:t>
      </w:r>
      <w:r w:rsidR="006C1BDB">
        <w:rPr>
          <w:lang w:val="en-GB"/>
        </w:rPr>
        <w:t xml:space="preserve">for </w:t>
      </w:r>
      <w:r w:rsidRPr="000F5232">
        <w:rPr>
          <w:lang w:val="en-GB"/>
        </w:rPr>
        <w:t>A</w:t>
      </w:r>
      <w:r w:rsidR="006C1BDB">
        <w:rPr>
          <w:lang w:val="en-GB"/>
        </w:rPr>
        <w:t>nnex</w:t>
      </w:r>
      <w:r w:rsidRPr="000F5232">
        <w:rPr>
          <w:lang w:val="en-GB"/>
        </w:rPr>
        <w:t xml:space="preserve"> 1 </w:t>
      </w:r>
      <w:r w:rsidR="006C1BDB">
        <w:rPr>
          <w:lang w:val="en-GB"/>
        </w:rPr>
        <w:t>issued by</w:t>
      </w:r>
      <w:r w:rsidRPr="000F5232">
        <w:rPr>
          <w:lang w:val="en-GB"/>
        </w:rPr>
        <w:t xml:space="preserve"> the AWMF</w:t>
      </w:r>
      <w:r>
        <w:rPr>
          <w:lang w:val="en-GB"/>
        </w:rPr>
        <w:t>’s</w:t>
      </w:r>
      <w:r w:rsidRPr="000F5232">
        <w:rPr>
          <w:lang w:val="en-GB"/>
        </w:rPr>
        <w:t xml:space="preserve"> Ad</w:t>
      </w:r>
      <w:r>
        <w:rPr>
          <w:lang w:val="en-GB"/>
        </w:rPr>
        <w:t xml:space="preserve"> </w:t>
      </w:r>
      <w:r w:rsidRPr="000F5232">
        <w:rPr>
          <w:lang w:val="en-GB"/>
        </w:rPr>
        <w:t>Hoc IVD Group.</w:t>
      </w:r>
      <w:r>
        <w:rPr>
          <w:lang w:val="en-GB"/>
        </w:rPr>
        <w:t xml:space="preserve"> </w:t>
      </w:r>
    </w:p>
    <w:p w14:paraId="21F106D4" w14:textId="608ABDC3" w:rsidR="00165EBD" w:rsidRPr="0022392F" w:rsidRDefault="000F5232" w:rsidP="00520AB9">
      <w:pPr>
        <w:jc w:val="both"/>
        <w:rPr>
          <w:lang w:val="en-GB"/>
        </w:rPr>
      </w:pPr>
      <w:r>
        <w:rPr>
          <w:lang w:val="en-GB"/>
        </w:rPr>
        <w:t xml:space="preserve">The requirements of Section </w:t>
      </w:r>
      <w:r w:rsidR="00165EBD" w:rsidRPr="0022392F">
        <w:rPr>
          <w:lang w:val="en-GB"/>
        </w:rPr>
        <w:t xml:space="preserve">9.4 </w:t>
      </w:r>
      <w:r>
        <w:rPr>
          <w:lang w:val="en-GB"/>
        </w:rPr>
        <w:t xml:space="preserve">normally do not apply to in-house IVDs. </w:t>
      </w:r>
    </w:p>
    <w:p w14:paraId="326B17AE" w14:textId="3347B668" w:rsidR="00E42172" w:rsidRPr="0022392F" w:rsidRDefault="00E42172" w:rsidP="00C959EF">
      <w:pPr>
        <w:jc w:val="both"/>
        <w:rPr>
          <w:lang w:val="en-GB"/>
        </w:rPr>
      </w:pPr>
      <w:bookmarkStart w:id="3" w:name="_Ref77938153"/>
      <w:r w:rsidRPr="0022392F">
        <w:rPr>
          <w:lang w:val="en-GB"/>
        </w:rPr>
        <w:t xml:space="preserve">Table </w:t>
      </w:r>
      <w:r w:rsidR="00D20606" w:rsidRPr="0022392F">
        <w:rPr>
          <w:noProof/>
          <w:lang w:val="en-GB"/>
        </w:rPr>
        <w:fldChar w:fldCharType="begin"/>
      </w:r>
      <w:r w:rsidR="00D20606" w:rsidRPr="0022392F">
        <w:rPr>
          <w:noProof/>
          <w:lang w:val="en-GB"/>
        </w:rPr>
        <w:instrText xml:space="preserve"> SEQ Tabelle \* ARABIC </w:instrText>
      </w:r>
      <w:r w:rsidR="00D20606" w:rsidRPr="0022392F">
        <w:rPr>
          <w:noProof/>
          <w:lang w:val="en-GB"/>
        </w:rPr>
        <w:fldChar w:fldCharType="separate"/>
      </w:r>
      <w:r w:rsidR="00C97FD1" w:rsidRPr="0022392F">
        <w:rPr>
          <w:noProof/>
          <w:lang w:val="en-GB"/>
        </w:rPr>
        <w:t>3</w:t>
      </w:r>
      <w:r w:rsidR="00D20606" w:rsidRPr="0022392F">
        <w:rPr>
          <w:noProof/>
          <w:lang w:val="en-GB"/>
        </w:rPr>
        <w:fldChar w:fldCharType="end"/>
      </w:r>
      <w:bookmarkEnd w:id="3"/>
      <w:r w:rsidRPr="0022392F">
        <w:rPr>
          <w:lang w:val="en-GB"/>
        </w:rPr>
        <w:t xml:space="preserve"> </w:t>
      </w:r>
      <w:r w:rsidR="00840722" w:rsidRPr="0022392F">
        <w:rPr>
          <w:lang w:val="en-GB"/>
        </w:rPr>
        <w:t xml:space="preserve">IVDR - </w:t>
      </w:r>
      <w:r w:rsidRPr="0022392F">
        <w:rPr>
          <w:lang w:val="en-GB"/>
        </w:rPr>
        <w:t>An</w:t>
      </w:r>
      <w:r w:rsidR="000F5232">
        <w:rPr>
          <w:lang w:val="en-GB"/>
        </w:rPr>
        <w:t>nex</w:t>
      </w:r>
      <w:r w:rsidRPr="0022392F">
        <w:rPr>
          <w:lang w:val="en-GB"/>
        </w:rPr>
        <w:t xml:space="preserve"> I, </w:t>
      </w:r>
      <w:r w:rsidR="000F5232">
        <w:rPr>
          <w:lang w:val="en-GB"/>
        </w:rPr>
        <w:t>Chapter</w:t>
      </w:r>
      <w:r w:rsidRPr="0022392F">
        <w:rPr>
          <w:lang w:val="en-GB"/>
        </w:rPr>
        <w:t xml:space="preserve"> </w:t>
      </w:r>
      <w:r w:rsidR="006B7D09" w:rsidRPr="0022392F">
        <w:rPr>
          <w:lang w:val="en-GB"/>
        </w:rPr>
        <w:t>I</w:t>
      </w:r>
      <w:r w:rsidRPr="0022392F">
        <w:rPr>
          <w:lang w:val="en-GB"/>
        </w:rPr>
        <w:t>I,</w:t>
      </w:r>
      <w:r w:rsidR="000F5232">
        <w:rPr>
          <w:lang w:val="en-GB"/>
        </w:rPr>
        <w:t xml:space="preserve"> Section 9 of the</w:t>
      </w:r>
      <w:r w:rsidRPr="0022392F">
        <w:rPr>
          <w:lang w:val="en-GB"/>
        </w:rPr>
        <w:t xml:space="preserve"> IVDR </w:t>
      </w:r>
    </w:p>
    <w:tbl>
      <w:tblPr>
        <w:tblW w:w="9072" w:type="dxa"/>
        <w:tblInd w:w="-5" w:type="dxa"/>
        <w:tblLook w:val="04A0" w:firstRow="1" w:lastRow="0" w:firstColumn="1" w:lastColumn="0" w:noHBand="0" w:noVBand="1"/>
      </w:tblPr>
      <w:tblGrid>
        <w:gridCol w:w="1276"/>
        <w:gridCol w:w="7796"/>
      </w:tblGrid>
      <w:tr w:rsidR="00E42172" w:rsidRPr="0022392F" w14:paraId="0D4BB997" w14:textId="77777777" w:rsidTr="00776F4D">
        <w:trPr>
          <w:trHeight w:val="318"/>
        </w:trPr>
        <w:tc>
          <w:tcPr>
            <w:tcW w:w="90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1784068" w14:textId="77777777" w:rsidR="00E42172" w:rsidRPr="0022392F" w:rsidRDefault="00E42172" w:rsidP="00776F4D">
            <w:pPr>
              <w:pStyle w:val="Default"/>
              <w:spacing w:after="60"/>
              <w:jc w:val="both"/>
              <w:rPr>
                <w:rFonts w:asciiTheme="minorHAnsi" w:hAnsiTheme="minorHAnsi" w:cstheme="minorBidi"/>
                <w:b/>
                <w:bCs/>
                <w:iCs/>
                <w:color w:val="auto"/>
                <w:sz w:val="20"/>
                <w:szCs w:val="20"/>
              </w:rPr>
            </w:pPr>
            <w:r w:rsidRPr="0022392F">
              <w:rPr>
                <w:rFonts w:asciiTheme="minorHAnsi" w:hAnsiTheme="minorHAnsi" w:cstheme="minorBidi"/>
                <w:b/>
                <w:bCs/>
                <w:iCs/>
                <w:color w:val="auto"/>
                <w:sz w:val="20"/>
                <w:szCs w:val="20"/>
              </w:rPr>
              <w:t>IVDR</w:t>
            </w:r>
          </w:p>
        </w:tc>
      </w:tr>
      <w:tr w:rsidR="00E42172" w:rsidRPr="0022392F" w14:paraId="141FD72D" w14:textId="77777777" w:rsidTr="00776F4D">
        <w:trPr>
          <w:trHeight w:val="280"/>
        </w:trPr>
        <w:tc>
          <w:tcPr>
            <w:tcW w:w="90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D1B873C" w14:textId="1AA4A17B" w:rsidR="00E42172" w:rsidRPr="0022392F" w:rsidRDefault="00102CE9" w:rsidP="00776F4D">
            <w:pPr>
              <w:pStyle w:val="Default"/>
              <w:spacing w:after="60"/>
              <w:jc w:val="both"/>
              <w:rPr>
                <w:rFonts w:asciiTheme="minorHAnsi" w:hAnsiTheme="minorHAnsi" w:cstheme="minorBidi"/>
                <w:iCs/>
                <w:color w:val="auto"/>
                <w:sz w:val="20"/>
                <w:szCs w:val="20"/>
              </w:rPr>
            </w:pPr>
            <w:r>
              <w:rPr>
                <w:rFonts w:asciiTheme="minorHAnsi" w:hAnsiTheme="minorHAnsi" w:cstheme="minorBidi"/>
                <w:iCs/>
                <w:color w:val="auto"/>
                <w:sz w:val="20"/>
                <w:szCs w:val="20"/>
              </w:rPr>
              <w:t>Annex</w:t>
            </w:r>
            <w:r w:rsidR="00E42172" w:rsidRPr="0022392F">
              <w:rPr>
                <w:rFonts w:asciiTheme="minorHAnsi" w:hAnsiTheme="minorHAnsi" w:cstheme="minorBidi"/>
                <w:iCs/>
                <w:color w:val="auto"/>
                <w:sz w:val="20"/>
                <w:szCs w:val="20"/>
              </w:rPr>
              <w:t xml:space="preserve"> I </w:t>
            </w:r>
            <w:r>
              <w:rPr>
                <w:rFonts w:asciiTheme="minorHAnsi" w:hAnsiTheme="minorHAnsi" w:cstheme="minorBidi"/>
                <w:iCs/>
                <w:color w:val="auto"/>
                <w:sz w:val="20"/>
                <w:szCs w:val="20"/>
              </w:rPr>
              <w:t>Chapter</w:t>
            </w:r>
            <w:r w:rsidR="00E42172" w:rsidRPr="0022392F">
              <w:rPr>
                <w:rFonts w:asciiTheme="minorHAnsi" w:hAnsiTheme="minorHAnsi" w:cstheme="minorBidi"/>
                <w:color w:val="auto"/>
                <w:sz w:val="20"/>
                <w:szCs w:val="20"/>
              </w:rPr>
              <w:t xml:space="preserve"> </w:t>
            </w:r>
            <w:r w:rsidR="00100B68">
              <w:rPr>
                <w:rFonts w:asciiTheme="minorHAnsi" w:hAnsiTheme="minorHAnsi" w:cstheme="minorBidi"/>
                <w:color w:val="auto"/>
                <w:sz w:val="20"/>
                <w:szCs w:val="20"/>
              </w:rPr>
              <w:t>II</w:t>
            </w:r>
          </w:p>
        </w:tc>
      </w:tr>
      <w:tr w:rsidR="00E42172" w:rsidRPr="00D57BC0" w14:paraId="5A4B3350" w14:textId="77777777" w:rsidTr="0048404A">
        <w:trPr>
          <w:trHeight w:val="1145"/>
        </w:trPr>
        <w:tc>
          <w:tcPr>
            <w:tcW w:w="1276" w:type="dxa"/>
            <w:tcBorders>
              <w:top w:val="single" w:sz="4" w:space="0" w:color="auto"/>
              <w:left w:val="single" w:sz="4" w:space="0" w:color="auto"/>
              <w:bottom w:val="single" w:sz="4" w:space="0" w:color="auto"/>
              <w:right w:val="single" w:sz="4" w:space="0" w:color="auto"/>
            </w:tcBorders>
          </w:tcPr>
          <w:p w14:paraId="248E8CAD" w14:textId="4292DB71" w:rsidR="00E42172" w:rsidRPr="0022392F" w:rsidRDefault="00102CE9" w:rsidP="00776F4D">
            <w:pPr>
              <w:pStyle w:val="Default"/>
              <w:spacing w:after="60"/>
              <w:rPr>
                <w:rFonts w:asciiTheme="minorHAnsi" w:hAnsiTheme="minorHAnsi" w:cstheme="minorBidi"/>
                <w:i/>
                <w:iCs/>
                <w:color w:val="auto"/>
                <w:sz w:val="20"/>
                <w:szCs w:val="20"/>
              </w:rPr>
            </w:pPr>
            <w:r>
              <w:rPr>
                <w:rFonts w:asciiTheme="minorHAnsi" w:hAnsiTheme="minorHAnsi" w:cstheme="minorBidi"/>
                <w:i/>
                <w:iCs/>
                <w:color w:val="auto"/>
                <w:sz w:val="20"/>
                <w:szCs w:val="20"/>
              </w:rPr>
              <w:t>Section</w:t>
            </w:r>
            <w:r w:rsidR="00E42172" w:rsidRPr="0022392F">
              <w:rPr>
                <w:rFonts w:asciiTheme="minorHAnsi" w:hAnsiTheme="minorHAnsi" w:cstheme="minorBidi"/>
                <w:i/>
                <w:iCs/>
                <w:color w:val="auto"/>
                <w:sz w:val="20"/>
                <w:szCs w:val="20"/>
              </w:rPr>
              <w:t xml:space="preserve"> </w:t>
            </w:r>
            <w:r w:rsidR="006B7D09" w:rsidRPr="0022392F">
              <w:rPr>
                <w:rFonts w:asciiTheme="minorHAnsi" w:hAnsiTheme="minorHAnsi" w:cstheme="minorBidi"/>
                <w:i/>
                <w:iCs/>
                <w:color w:val="auto"/>
                <w:sz w:val="20"/>
                <w:szCs w:val="20"/>
              </w:rPr>
              <w:t>9.1</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B9911C3" w14:textId="0863D49B" w:rsidR="00E42172" w:rsidRPr="0022392F" w:rsidRDefault="00836B2E" w:rsidP="006B7D09">
            <w:pPr>
              <w:rPr>
                <w:i/>
                <w:iCs/>
                <w:sz w:val="20"/>
                <w:szCs w:val="20"/>
                <w:lang w:val="en-GB"/>
              </w:rPr>
            </w:pPr>
            <w:r w:rsidRPr="00836B2E">
              <w:rPr>
                <w:i/>
                <w:iCs/>
                <w:sz w:val="20"/>
                <w:szCs w:val="20"/>
                <w:lang w:val="en-GB"/>
              </w:rPr>
              <w:t>Devices shall be designed and manufactured in such a way that they are suitable for the purposes referred to in point 2 of Article 2, as specified by the manufacturer, and suitable with regard to the performance they are intended to achieve, taking account of the generally acknowledged state of the art. They shall achieve the performance, as stated by the manufacturer and in particular, where applicable</w:t>
            </w:r>
            <w:r w:rsidRPr="0022392F">
              <w:rPr>
                <w:i/>
                <w:iCs/>
                <w:sz w:val="20"/>
                <w:szCs w:val="20"/>
                <w:lang w:val="en-GB"/>
              </w:rPr>
              <w:t xml:space="preserve"> </w:t>
            </w:r>
          </w:p>
        </w:tc>
      </w:tr>
      <w:tr w:rsidR="0048404A" w:rsidRPr="00D57BC0" w14:paraId="5532A120" w14:textId="77777777" w:rsidTr="006C1BDB">
        <w:trPr>
          <w:trHeight w:val="1368"/>
        </w:trPr>
        <w:tc>
          <w:tcPr>
            <w:tcW w:w="1276" w:type="dxa"/>
            <w:tcBorders>
              <w:top w:val="single" w:sz="4" w:space="0" w:color="auto"/>
              <w:left w:val="single" w:sz="4" w:space="0" w:color="auto"/>
              <w:bottom w:val="single" w:sz="4" w:space="0" w:color="auto"/>
              <w:right w:val="single" w:sz="4" w:space="0" w:color="auto"/>
            </w:tcBorders>
          </w:tcPr>
          <w:p w14:paraId="32058929" w14:textId="01127122" w:rsidR="0048404A" w:rsidRPr="0022392F" w:rsidRDefault="0048404A" w:rsidP="0048404A">
            <w:pPr>
              <w:pStyle w:val="Default"/>
              <w:spacing w:after="60"/>
              <w:jc w:val="right"/>
              <w:rPr>
                <w:rFonts w:asciiTheme="minorHAnsi" w:hAnsiTheme="minorHAnsi" w:cstheme="minorBidi"/>
                <w:i/>
                <w:iCs/>
                <w:color w:val="auto"/>
                <w:sz w:val="20"/>
                <w:szCs w:val="20"/>
              </w:rPr>
            </w:pPr>
            <w:r w:rsidRPr="0022392F">
              <w:rPr>
                <w:rFonts w:asciiTheme="minorHAnsi" w:hAnsiTheme="minorHAnsi" w:cstheme="minorBidi"/>
                <w:i/>
                <w:iCs/>
                <w:color w:val="auto"/>
                <w:sz w:val="20"/>
                <w:szCs w:val="20"/>
              </w:rPr>
              <w:t>a)</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96BBCB1" w14:textId="57B7D984" w:rsidR="0048404A" w:rsidRPr="0022392F" w:rsidRDefault="00836B2E" w:rsidP="0048404A">
            <w:pPr>
              <w:rPr>
                <w:i/>
                <w:iCs/>
                <w:sz w:val="20"/>
                <w:szCs w:val="20"/>
                <w:lang w:val="en-GB"/>
              </w:rPr>
            </w:pPr>
            <w:r w:rsidRPr="00836B2E">
              <w:rPr>
                <w:b/>
                <w:bCs/>
                <w:i/>
                <w:iCs/>
                <w:sz w:val="20"/>
                <w:szCs w:val="20"/>
                <w:lang w:val="en-GB"/>
              </w:rPr>
              <w:t>the analytical performance</w:t>
            </w:r>
            <w:r w:rsidRPr="00836B2E">
              <w:rPr>
                <w:i/>
                <w:iCs/>
                <w:sz w:val="20"/>
                <w:szCs w:val="20"/>
                <w:lang w:val="en-GB"/>
              </w:rPr>
              <w:t xml:space="preserve">, such as, analytical sensitivity, analytical specificity, trueness (bias), precision (repeatability and reproducibility), </w:t>
            </w:r>
            <w:r w:rsidRPr="003345EB">
              <w:rPr>
                <w:i/>
                <w:iCs/>
                <w:sz w:val="20"/>
                <w:szCs w:val="20"/>
                <w:lang w:val="en-GB"/>
              </w:rPr>
              <w:t>accuracy (resulting from trueness and precision), limits of detection and quanti</w:t>
            </w:r>
            <w:r w:rsidR="00C6008F" w:rsidRPr="003345EB">
              <w:rPr>
                <w:i/>
                <w:iCs/>
                <w:sz w:val="20"/>
                <w:szCs w:val="20"/>
                <w:lang w:val="en-GB"/>
              </w:rPr>
              <w:t>fic</w:t>
            </w:r>
            <w:r w:rsidRPr="003345EB">
              <w:rPr>
                <w:i/>
                <w:iCs/>
                <w:sz w:val="20"/>
                <w:szCs w:val="20"/>
                <w:lang w:val="en-GB"/>
              </w:rPr>
              <w:t xml:space="preserve">ation, measuring range, linearity, cut-off, </w:t>
            </w:r>
            <w:r w:rsidRPr="00836B2E">
              <w:rPr>
                <w:i/>
                <w:iCs/>
                <w:sz w:val="20"/>
                <w:szCs w:val="20"/>
                <w:lang w:val="en-GB"/>
              </w:rPr>
              <w:t>including determination of appropriate criteria for specimen collection and handling and control of known relevant endogenous and exogenous interference, cross-reactions and</w:t>
            </w:r>
            <w:r w:rsidRPr="0022392F">
              <w:rPr>
                <w:b/>
                <w:bCs/>
                <w:i/>
                <w:iCs/>
                <w:sz w:val="20"/>
                <w:szCs w:val="20"/>
                <w:lang w:val="en-GB"/>
              </w:rPr>
              <w:t xml:space="preserve"> </w:t>
            </w:r>
          </w:p>
        </w:tc>
      </w:tr>
      <w:tr w:rsidR="0048404A" w:rsidRPr="00D57BC0" w14:paraId="68AF72D7" w14:textId="77777777" w:rsidTr="006C1BDB">
        <w:trPr>
          <w:trHeight w:val="878"/>
        </w:trPr>
        <w:tc>
          <w:tcPr>
            <w:tcW w:w="1276" w:type="dxa"/>
            <w:tcBorders>
              <w:top w:val="single" w:sz="4" w:space="0" w:color="auto"/>
              <w:left w:val="single" w:sz="4" w:space="0" w:color="auto"/>
              <w:bottom w:val="single" w:sz="4" w:space="0" w:color="auto"/>
              <w:right w:val="single" w:sz="4" w:space="0" w:color="auto"/>
            </w:tcBorders>
          </w:tcPr>
          <w:p w14:paraId="13CD9B47" w14:textId="59A44391" w:rsidR="0048404A" w:rsidRPr="0022392F" w:rsidRDefault="0048404A" w:rsidP="0048404A">
            <w:pPr>
              <w:pStyle w:val="Default"/>
              <w:spacing w:after="60"/>
              <w:jc w:val="right"/>
              <w:rPr>
                <w:rFonts w:asciiTheme="minorHAnsi" w:hAnsiTheme="minorHAnsi" w:cstheme="minorBidi"/>
                <w:i/>
                <w:iCs/>
                <w:color w:val="auto"/>
                <w:sz w:val="20"/>
                <w:szCs w:val="20"/>
              </w:rPr>
            </w:pPr>
            <w:r w:rsidRPr="0022392F">
              <w:rPr>
                <w:rFonts w:asciiTheme="minorHAnsi" w:hAnsiTheme="minorHAnsi" w:cstheme="minorBidi"/>
                <w:i/>
                <w:iCs/>
                <w:color w:val="auto"/>
                <w:sz w:val="20"/>
                <w:szCs w:val="20"/>
              </w:rPr>
              <w:t>b)</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51CAB5DB" w14:textId="6676B045" w:rsidR="0048404A" w:rsidRPr="0022392F" w:rsidRDefault="00836B2E" w:rsidP="00836B2E">
            <w:pPr>
              <w:spacing w:after="0"/>
              <w:rPr>
                <w:i/>
                <w:iCs/>
                <w:sz w:val="20"/>
                <w:szCs w:val="20"/>
                <w:lang w:val="en-GB"/>
              </w:rPr>
            </w:pPr>
            <w:r w:rsidRPr="00836B2E">
              <w:rPr>
                <w:b/>
                <w:bCs/>
                <w:i/>
                <w:iCs/>
                <w:sz w:val="20"/>
                <w:szCs w:val="20"/>
                <w:lang w:val="en-GB"/>
              </w:rPr>
              <w:t>the clinical performance</w:t>
            </w:r>
            <w:r w:rsidRPr="00836B2E">
              <w:rPr>
                <w:i/>
                <w:iCs/>
                <w:sz w:val="20"/>
                <w:szCs w:val="20"/>
                <w:lang w:val="en-GB"/>
              </w:rPr>
              <w:t>, such as diagnostic sensitivity, diagnostic specificity, positive predictive value, negative predictive value, likelihood ratio, expected values in normal and affected populations.</w:t>
            </w:r>
          </w:p>
        </w:tc>
      </w:tr>
      <w:tr w:rsidR="00167BA4" w:rsidRPr="00D57BC0" w14:paraId="40F49A08" w14:textId="77777777" w:rsidTr="006C1BDB">
        <w:trPr>
          <w:trHeight w:val="551"/>
        </w:trPr>
        <w:tc>
          <w:tcPr>
            <w:tcW w:w="1276" w:type="dxa"/>
            <w:tcBorders>
              <w:top w:val="single" w:sz="4" w:space="0" w:color="auto"/>
              <w:left w:val="single" w:sz="4" w:space="0" w:color="auto"/>
              <w:bottom w:val="single" w:sz="4" w:space="0" w:color="auto"/>
              <w:right w:val="single" w:sz="4" w:space="0" w:color="auto"/>
            </w:tcBorders>
          </w:tcPr>
          <w:p w14:paraId="5B64874C" w14:textId="2A1B036A" w:rsidR="00167BA4" w:rsidRPr="0022392F" w:rsidRDefault="00102CE9" w:rsidP="00167BA4">
            <w:pPr>
              <w:pStyle w:val="Default"/>
              <w:spacing w:after="60"/>
              <w:rPr>
                <w:rFonts w:asciiTheme="minorHAnsi" w:hAnsiTheme="minorHAnsi" w:cstheme="minorBidi"/>
                <w:i/>
                <w:iCs/>
                <w:color w:val="auto"/>
                <w:sz w:val="20"/>
                <w:szCs w:val="20"/>
              </w:rPr>
            </w:pPr>
            <w:r>
              <w:rPr>
                <w:rFonts w:asciiTheme="minorHAnsi" w:hAnsiTheme="minorHAnsi" w:cstheme="minorBidi"/>
                <w:i/>
                <w:color w:val="auto"/>
                <w:sz w:val="20"/>
                <w:szCs w:val="20"/>
              </w:rPr>
              <w:t>Section</w:t>
            </w:r>
            <w:r w:rsidR="00167BA4" w:rsidRPr="0022392F">
              <w:rPr>
                <w:rFonts w:asciiTheme="minorHAnsi" w:hAnsiTheme="minorHAnsi" w:cstheme="minorBidi"/>
                <w:i/>
                <w:color w:val="auto"/>
                <w:sz w:val="20"/>
                <w:szCs w:val="20"/>
              </w:rPr>
              <w:t xml:space="preserve"> </w:t>
            </w:r>
            <w:r w:rsidR="006B7D09" w:rsidRPr="0022392F">
              <w:rPr>
                <w:rFonts w:asciiTheme="minorHAnsi" w:hAnsiTheme="minorHAnsi" w:cstheme="minorBidi"/>
                <w:i/>
                <w:color w:val="auto"/>
                <w:sz w:val="20"/>
                <w:szCs w:val="20"/>
              </w:rPr>
              <w:t>9.2</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3AA75855" w14:textId="4BC40B95" w:rsidR="00167BA4" w:rsidRPr="0022392F" w:rsidRDefault="00102CE9" w:rsidP="00712F97">
            <w:pPr>
              <w:rPr>
                <w:i/>
                <w:iCs/>
                <w:sz w:val="20"/>
                <w:szCs w:val="20"/>
                <w:lang w:val="en-GB"/>
              </w:rPr>
            </w:pPr>
            <w:r w:rsidRPr="001C0C27">
              <w:rPr>
                <w:i/>
                <w:sz w:val="20"/>
                <w:szCs w:val="20"/>
                <w:lang w:val="en-GB"/>
              </w:rPr>
              <w:t>The performance characteristics of the device shall be maintained during the lifetime of the device as indicated by the manufacturer.</w:t>
            </w:r>
            <w:r w:rsidRPr="00E1456B">
              <w:rPr>
                <w:color w:val="000000"/>
                <w:shd w:val="clear" w:color="auto" w:fill="FFFFFF"/>
                <w:lang w:val="en-GB"/>
              </w:rPr>
              <w:t xml:space="preserve"> </w:t>
            </w:r>
          </w:p>
        </w:tc>
      </w:tr>
      <w:tr w:rsidR="004D03B0" w:rsidRPr="00D57BC0" w14:paraId="485EE2EB" w14:textId="77777777" w:rsidTr="00776F4D">
        <w:trPr>
          <w:trHeight w:val="284"/>
        </w:trPr>
        <w:tc>
          <w:tcPr>
            <w:tcW w:w="1276" w:type="dxa"/>
            <w:tcBorders>
              <w:top w:val="single" w:sz="4" w:space="0" w:color="auto"/>
              <w:left w:val="single" w:sz="4" w:space="0" w:color="auto"/>
              <w:bottom w:val="single" w:sz="4" w:space="0" w:color="auto"/>
              <w:right w:val="single" w:sz="4" w:space="0" w:color="auto"/>
            </w:tcBorders>
          </w:tcPr>
          <w:p w14:paraId="3EFD17C7" w14:textId="7BF40AAD" w:rsidR="004D03B0" w:rsidRPr="0022392F" w:rsidRDefault="00102CE9" w:rsidP="00167BA4">
            <w:pPr>
              <w:pStyle w:val="Default"/>
              <w:spacing w:after="60"/>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4D03B0" w:rsidRPr="0022392F">
              <w:rPr>
                <w:rFonts w:asciiTheme="minorHAnsi" w:hAnsiTheme="minorHAnsi" w:cstheme="minorBidi"/>
                <w:i/>
                <w:color w:val="auto"/>
                <w:sz w:val="20"/>
                <w:szCs w:val="20"/>
              </w:rPr>
              <w:t xml:space="preserve"> 9.3</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E8611A0" w14:textId="563D242E" w:rsidR="004D03B0" w:rsidRPr="0022392F" w:rsidRDefault="00102CE9" w:rsidP="00712F97">
            <w:pPr>
              <w:rPr>
                <w:i/>
                <w:sz w:val="20"/>
                <w:szCs w:val="20"/>
                <w:lang w:val="en-GB"/>
              </w:rPr>
            </w:pPr>
            <w:r w:rsidRPr="00102CE9">
              <w:rPr>
                <w:i/>
                <w:sz w:val="20"/>
                <w:szCs w:val="20"/>
                <w:lang w:val="en-GB"/>
              </w:rPr>
              <w:t>Where the performance of a device depends on the use of calibrators and/or control materials, the metrological traceability of values assigned to calibrators and/or control materials shall be assured through suitable reference measurement procedures and/or suitable reference materials of a higher metrological order. Where available, metrological traceability of values assigned to calibrators and control materials shall be assured through certified reference materials or reference measurement procedures.</w:t>
            </w:r>
            <w:r w:rsidRPr="00E1456B">
              <w:rPr>
                <w:color w:val="000000"/>
                <w:shd w:val="clear" w:color="auto" w:fill="FFFFFF"/>
                <w:lang w:val="en-GB"/>
              </w:rPr>
              <w:t xml:space="preserve"> </w:t>
            </w:r>
          </w:p>
        </w:tc>
      </w:tr>
      <w:tr w:rsidR="004D03B0" w:rsidRPr="00D57BC0" w14:paraId="18B87031" w14:textId="77777777" w:rsidTr="00776F4D">
        <w:trPr>
          <w:trHeight w:val="284"/>
        </w:trPr>
        <w:tc>
          <w:tcPr>
            <w:tcW w:w="1276" w:type="dxa"/>
            <w:tcBorders>
              <w:top w:val="single" w:sz="4" w:space="0" w:color="auto"/>
              <w:left w:val="single" w:sz="4" w:space="0" w:color="auto"/>
              <w:bottom w:val="single" w:sz="4" w:space="0" w:color="auto"/>
              <w:right w:val="single" w:sz="4" w:space="0" w:color="auto"/>
            </w:tcBorders>
          </w:tcPr>
          <w:p w14:paraId="2DD4971E" w14:textId="153E06DF" w:rsidR="004D03B0" w:rsidRPr="0022392F" w:rsidRDefault="001C0C27" w:rsidP="00167BA4">
            <w:pPr>
              <w:pStyle w:val="Default"/>
              <w:spacing w:after="60"/>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165EBD" w:rsidRPr="0022392F">
              <w:rPr>
                <w:rFonts w:asciiTheme="minorHAnsi" w:hAnsiTheme="minorHAnsi" w:cstheme="minorBidi"/>
                <w:i/>
                <w:color w:val="auto"/>
                <w:sz w:val="20"/>
                <w:szCs w:val="20"/>
              </w:rPr>
              <w:t>*</w:t>
            </w:r>
            <w:r w:rsidR="004D03B0" w:rsidRPr="0022392F">
              <w:rPr>
                <w:rFonts w:asciiTheme="minorHAnsi" w:hAnsiTheme="minorHAnsi" w:cstheme="minorBidi"/>
                <w:i/>
                <w:color w:val="auto"/>
                <w:sz w:val="20"/>
                <w:szCs w:val="20"/>
              </w:rPr>
              <w:t xml:space="preserve"> 9.4</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FB61E62" w14:textId="32A878CA" w:rsidR="004D03B0" w:rsidRPr="0022392F" w:rsidRDefault="001C0C27" w:rsidP="00712F97">
            <w:pPr>
              <w:rPr>
                <w:i/>
                <w:sz w:val="20"/>
                <w:szCs w:val="20"/>
                <w:lang w:val="en-GB"/>
              </w:rPr>
            </w:pPr>
            <w:r w:rsidRPr="00692B6D">
              <w:rPr>
                <w:i/>
                <w:sz w:val="20"/>
                <w:szCs w:val="20"/>
                <w:lang w:val="en-GB"/>
              </w:rPr>
              <w:t>The characteristics and performance of the device shall be specifically checked in the event that they may be affected when the device is used for the intended purpose under normal conditions:</w:t>
            </w:r>
            <w:r w:rsidRPr="00E1456B">
              <w:rPr>
                <w:color w:val="000000"/>
                <w:shd w:val="clear" w:color="auto" w:fill="FFFFFF"/>
                <w:lang w:val="en-GB"/>
              </w:rPr>
              <w:t xml:space="preserve"> </w:t>
            </w:r>
          </w:p>
        </w:tc>
      </w:tr>
      <w:tr w:rsidR="00165EBD" w:rsidRPr="00D57BC0" w14:paraId="474225C2" w14:textId="77777777" w:rsidTr="00776F4D">
        <w:trPr>
          <w:trHeight w:val="284"/>
        </w:trPr>
        <w:tc>
          <w:tcPr>
            <w:tcW w:w="1276" w:type="dxa"/>
            <w:tcBorders>
              <w:top w:val="single" w:sz="4" w:space="0" w:color="auto"/>
              <w:left w:val="single" w:sz="4" w:space="0" w:color="auto"/>
              <w:bottom w:val="single" w:sz="4" w:space="0" w:color="auto"/>
              <w:right w:val="single" w:sz="4" w:space="0" w:color="auto"/>
            </w:tcBorders>
          </w:tcPr>
          <w:p w14:paraId="026B9879" w14:textId="531F8499" w:rsidR="00165EBD" w:rsidRPr="0022392F" w:rsidRDefault="00165EBD" w:rsidP="00C959EF">
            <w:pPr>
              <w:pStyle w:val="Default"/>
              <w:spacing w:after="60"/>
              <w:jc w:val="right"/>
              <w:rPr>
                <w:rFonts w:asciiTheme="minorHAnsi" w:hAnsiTheme="minorHAnsi" w:cstheme="minorBidi"/>
                <w:i/>
                <w:color w:val="auto"/>
                <w:sz w:val="20"/>
                <w:szCs w:val="20"/>
              </w:rPr>
            </w:pPr>
            <w:proofErr w:type="gramStart"/>
            <w:r w:rsidRPr="0022392F">
              <w:rPr>
                <w:rFonts w:asciiTheme="minorHAnsi" w:hAnsiTheme="minorHAnsi" w:cstheme="minorBidi"/>
                <w:i/>
                <w:color w:val="auto"/>
                <w:sz w:val="20"/>
                <w:szCs w:val="20"/>
              </w:rPr>
              <w:t>a)*</w:t>
            </w:r>
            <w:proofErr w:type="gramEnd"/>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4C511A0" w14:textId="7BA8C581" w:rsidR="00165EBD" w:rsidRPr="0022392F" w:rsidRDefault="001C0C27" w:rsidP="00712F97">
            <w:pPr>
              <w:rPr>
                <w:i/>
                <w:sz w:val="20"/>
                <w:szCs w:val="20"/>
                <w:lang w:val="en-GB"/>
              </w:rPr>
            </w:pPr>
            <w:r w:rsidRPr="00692B6D">
              <w:rPr>
                <w:i/>
                <w:sz w:val="20"/>
                <w:szCs w:val="20"/>
                <w:lang w:val="en-GB"/>
              </w:rPr>
              <w:t>for devices</w:t>
            </w:r>
            <w:r w:rsidR="00E91240" w:rsidRPr="00692B6D">
              <w:rPr>
                <w:i/>
                <w:sz w:val="20"/>
                <w:szCs w:val="20"/>
                <w:lang w:val="en-GB"/>
              </w:rPr>
              <w:t xml:space="preserve"> </w:t>
            </w:r>
            <w:r w:rsidR="00E91240">
              <w:rPr>
                <w:i/>
                <w:sz w:val="20"/>
                <w:szCs w:val="20"/>
                <w:lang w:val="en-GB"/>
              </w:rPr>
              <w:t xml:space="preserve">for </w:t>
            </w:r>
            <w:r w:rsidR="00E91240" w:rsidRPr="00692B6D">
              <w:rPr>
                <w:i/>
                <w:sz w:val="20"/>
                <w:szCs w:val="20"/>
                <w:lang w:val="en-GB"/>
              </w:rPr>
              <w:t>self-testing</w:t>
            </w:r>
            <w:r w:rsidRPr="00692B6D">
              <w:rPr>
                <w:i/>
                <w:sz w:val="20"/>
                <w:szCs w:val="20"/>
                <w:lang w:val="en-GB"/>
              </w:rPr>
              <w:t>, performance obtained by laypersons;</w:t>
            </w:r>
            <w:r w:rsidR="00692B6D" w:rsidRPr="00E1456B">
              <w:rPr>
                <w:color w:val="000000"/>
                <w:shd w:val="clear" w:color="auto" w:fill="FFFFFF"/>
                <w:lang w:val="en-GB"/>
              </w:rPr>
              <w:t xml:space="preserve"> </w:t>
            </w:r>
          </w:p>
        </w:tc>
      </w:tr>
      <w:tr w:rsidR="00165EBD" w:rsidRPr="00D57BC0" w14:paraId="02B3AE64" w14:textId="77777777" w:rsidTr="00776F4D">
        <w:trPr>
          <w:trHeight w:val="284"/>
        </w:trPr>
        <w:tc>
          <w:tcPr>
            <w:tcW w:w="1276" w:type="dxa"/>
            <w:tcBorders>
              <w:top w:val="single" w:sz="4" w:space="0" w:color="auto"/>
              <w:left w:val="single" w:sz="4" w:space="0" w:color="auto"/>
              <w:bottom w:val="single" w:sz="4" w:space="0" w:color="auto"/>
              <w:right w:val="single" w:sz="4" w:space="0" w:color="auto"/>
            </w:tcBorders>
          </w:tcPr>
          <w:p w14:paraId="2AE2724F" w14:textId="7B2ECCCD" w:rsidR="00165EBD" w:rsidRPr="0022392F" w:rsidRDefault="00165EBD" w:rsidP="00C959EF">
            <w:pPr>
              <w:pStyle w:val="Default"/>
              <w:spacing w:after="60"/>
              <w:jc w:val="right"/>
              <w:rPr>
                <w:rFonts w:asciiTheme="minorHAnsi" w:hAnsiTheme="minorHAnsi" w:cstheme="minorBidi"/>
                <w:i/>
                <w:color w:val="auto"/>
                <w:sz w:val="20"/>
                <w:szCs w:val="20"/>
              </w:rPr>
            </w:pPr>
            <w:proofErr w:type="gramStart"/>
            <w:r w:rsidRPr="0022392F">
              <w:rPr>
                <w:rFonts w:asciiTheme="minorHAnsi" w:hAnsiTheme="minorHAnsi" w:cstheme="minorBidi"/>
                <w:i/>
                <w:color w:val="auto"/>
                <w:sz w:val="20"/>
                <w:szCs w:val="20"/>
              </w:rPr>
              <w:t>b)*</w:t>
            </w:r>
            <w:proofErr w:type="gramEnd"/>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4C4809FB" w14:textId="76928286" w:rsidR="00165EBD" w:rsidRPr="0022392F" w:rsidRDefault="001C0C27" w:rsidP="00712F97">
            <w:pPr>
              <w:rPr>
                <w:i/>
                <w:sz w:val="20"/>
                <w:szCs w:val="20"/>
                <w:lang w:val="en-GB"/>
              </w:rPr>
            </w:pPr>
            <w:r w:rsidRPr="00692B6D">
              <w:rPr>
                <w:i/>
                <w:sz w:val="20"/>
                <w:szCs w:val="20"/>
                <w:lang w:val="en-GB"/>
              </w:rPr>
              <w:t>for devices for near-patient testing, performance obtained in relevant environments (for example, patient home, emergency units, ambulances).</w:t>
            </w:r>
            <w:r w:rsidR="00692B6D" w:rsidRPr="00E1456B">
              <w:rPr>
                <w:color w:val="000000"/>
                <w:shd w:val="clear" w:color="auto" w:fill="FFFFFF"/>
                <w:lang w:val="en-GB"/>
              </w:rPr>
              <w:t xml:space="preserve"> </w:t>
            </w:r>
          </w:p>
        </w:tc>
      </w:tr>
    </w:tbl>
    <w:p w14:paraId="709DA4AC" w14:textId="66451150" w:rsidR="004370EE" w:rsidRPr="0022392F" w:rsidRDefault="00165EBD" w:rsidP="00520AB9">
      <w:pPr>
        <w:pStyle w:val="Kommentartext"/>
        <w:jc w:val="both"/>
        <w:rPr>
          <w:rFonts w:cstheme="minorHAnsi"/>
          <w:lang w:val="en-GB"/>
        </w:rPr>
      </w:pPr>
      <w:r w:rsidRPr="0022392F">
        <w:rPr>
          <w:rFonts w:cstheme="minorHAnsi"/>
          <w:lang w:val="en-GB"/>
        </w:rPr>
        <w:t>*</w:t>
      </w:r>
      <w:r w:rsidRPr="0022392F">
        <w:rPr>
          <w:lang w:val="en-GB"/>
        </w:rPr>
        <w:t xml:space="preserve"> </w:t>
      </w:r>
      <w:r w:rsidR="000F5232">
        <w:rPr>
          <w:lang w:val="en-GB"/>
        </w:rPr>
        <w:t>These requirements normally do not apply to in-house IVDs</w:t>
      </w:r>
      <w:r w:rsidRPr="0022392F">
        <w:rPr>
          <w:rFonts w:cstheme="minorHAnsi"/>
          <w:lang w:val="en-GB"/>
        </w:rPr>
        <w:t>.</w:t>
      </w:r>
    </w:p>
    <w:p w14:paraId="33509F51" w14:textId="2C156188" w:rsidR="00A97241" w:rsidRPr="0022392F" w:rsidRDefault="000F5232" w:rsidP="00E87525">
      <w:pPr>
        <w:jc w:val="both"/>
        <w:rPr>
          <w:lang w:val="en-GB"/>
        </w:rPr>
      </w:pPr>
      <w:r w:rsidRPr="000F5232">
        <w:rPr>
          <w:lang w:val="en-GB"/>
        </w:rPr>
        <w:t>Section 9.1 a) and b) are described in more detail below. Various parameters are listed for the analytical performance (9.1</w:t>
      </w:r>
      <w:r w:rsidR="00E91240">
        <w:rPr>
          <w:lang w:val="en-GB"/>
        </w:rPr>
        <w:t xml:space="preserve"> </w:t>
      </w:r>
      <w:r w:rsidRPr="000F5232">
        <w:rPr>
          <w:lang w:val="en-GB"/>
        </w:rPr>
        <w:t>a)) and clinical performance (9.1</w:t>
      </w:r>
      <w:r w:rsidR="00E91240">
        <w:rPr>
          <w:lang w:val="en-GB"/>
        </w:rPr>
        <w:t xml:space="preserve"> </w:t>
      </w:r>
      <w:r w:rsidRPr="000F5232">
        <w:rPr>
          <w:lang w:val="en-GB"/>
        </w:rPr>
        <w:t>b))</w:t>
      </w:r>
      <w:r w:rsidR="0015132A">
        <w:rPr>
          <w:lang w:val="en-GB"/>
        </w:rPr>
        <w:t xml:space="preserve"> to be determined</w:t>
      </w:r>
      <w:r w:rsidR="00E91240">
        <w:rPr>
          <w:lang w:val="en-GB"/>
        </w:rPr>
        <w:t>.</w:t>
      </w:r>
    </w:p>
    <w:p w14:paraId="3254C8D3" w14:textId="3755E261" w:rsidR="000F21F7" w:rsidRPr="0022392F" w:rsidRDefault="00917091" w:rsidP="007F518D">
      <w:pPr>
        <w:jc w:val="both"/>
        <w:rPr>
          <w:lang w:val="en-GB"/>
        </w:rPr>
      </w:pPr>
      <w:r>
        <w:rPr>
          <w:lang w:val="en-GB"/>
        </w:rPr>
        <w:t>The points in Section 9.1 are to be met i</w:t>
      </w:r>
      <w:r w:rsidR="00511DEC">
        <w:rPr>
          <w:lang w:val="en-GB"/>
        </w:rPr>
        <w:t>nsofar as</w:t>
      </w:r>
      <w:r>
        <w:rPr>
          <w:lang w:val="en-GB"/>
        </w:rPr>
        <w:t xml:space="preserve"> they</w:t>
      </w:r>
      <w:r w:rsidR="00511DEC">
        <w:rPr>
          <w:lang w:val="en-GB"/>
        </w:rPr>
        <w:t xml:space="preserve"> </w:t>
      </w:r>
      <w:r w:rsidR="00E91240">
        <w:rPr>
          <w:lang w:val="en-GB"/>
        </w:rPr>
        <w:t>apply</w:t>
      </w:r>
      <w:r w:rsidR="00511DEC">
        <w:rPr>
          <w:lang w:val="en-GB"/>
        </w:rPr>
        <w:t xml:space="preserve"> to the device. </w:t>
      </w:r>
    </w:p>
    <w:p w14:paraId="22AC646E" w14:textId="5738D8E2" w:rsidR="001856AA" w:rsidRPr="0022392F" w:rsidRDefault="005A7877" w:rsidP="001856AA">
      <w:pPr>
        <w:jc w:val="both"/>
        <w:rPr>
          <w:rFonts w:cstheme="minorHAnsi"/>
          <w:lang w:val="en-GB"/>
        </w:rPr>
      </w:pPr>
      <w:r>
        <w:rPr>
          <w:rFonts w:cstheme="minorHAnsi"/>
          <w:lang w:val="en-GB"/>
        </w:rPr>
        <w:lastRenderedPageBreak/>
        <w:t>T</w:t>
      </w:r>
      <w:r w:rsidRPr="005A7877">
        <w:rPr>
          <w:rFonts w:cstheme="minorHAnsi"/>
          <w:lang w:val="en-GB"/>
        </w:rPr>
        <w:t xml:space="preserve">he parameters </w:t>
      </w:r>
      <w:r>
        <w:rPr>
          <w:rFonts w:cstheme="minorHAnsi"/>
          <w:lang w:val="en-GB"/>
        </w:rPr>
        <w:t>for</w:t>
      </w:r>
      <w:r w:rsidRPr="005A7877">
        <w:rPr>
          <w:rFonts w:cstheme="minorHAnsi"/>
          <w:lang w:val="en-GB"/>
        </w:rPr>
        <w:t xml:space="preserve"> analytical and clinical performance </w:t>
      </w:r>
      <w:r>
        <w:rPr>
          <w:rFonts w:cstheme="minorHAnsi"/>
          <w:lang w:val="en-GB"/>
        </w:rPr>
        <w:t>as per</w:t>
      </w:r>
      <w:r w:rsidRPr="005A7877">
        <w:rPr>
          <w:rFonts w:cstheme="minorHAnsi"/>
          <w:lang w:val="en-GB"/>
        </w:rPr>
        <w:t xml:space="preserve"> Annex I Section 9.1 are listed individually and described in more detail</w:t>
      </w:r>
      <w:r>
        <w:rPr>
          <w:rFonts w:cstheme="minorHAnsi"/>
          <w:lang w:val="en-GB"/>
        </w:rPr>
        <w:t xml:space="preserve"> below.</w:t>
      </w:r>
      <w:r w:rsidRPr="005A7877">
        <w:rPr>
          <w:rFonts w:cstheme="minorHAnsi"/>
          <w:lang w:val="en-GB"/>
        </w:rPr>
        <w:t xml:space="preserve"> (</w:t>
      </w:r>
      <w:r w:rsidRPr="005A7877">
        <w:rPr>
          <w:rFonts w:cstheme="minorHAnsi"/>
          <w:i/>
          <w:iCs/>
          <w:lang w:val="en-GB"/>
        </w:rPr>
        <w:t xml:space="preserve">Please note: The definitions </w:t>
      </w:r>
      <w:r>
        <w:rPr>
          <w:rFonts w:cstheme="minorHAnsi"/>
          <w:i/>
          <w:iCs/>
          <w:lang w:val="en-GB"/>
        </w:rPr>
        <w:t>listed</w:t>
      </w:r>
      <w:r w:rsidRPr="005A7877">
        <w:rPr>
          <w:rFonts w:cstheme="minorHAnsi"/>
          <w:i/>
          <w:iCs/>
          <w:lang w:val="en-GB"/>
        </w:rPr>
        <w:t xml:space="preserve"> here are for guidance </w:t>
      </w:r>
      <w:r>
        <w:rPr>
          <w:rFonts w:cstheme="minorHAnsi"/>
          <w:i/>
          <w:iCs/>
          <w:lang w:val="en-GB"/>
        </w:rPr>
        <w:t xml:space="preserve">purposes only </w:t>
      </w:r>
      <w:r w:rsidRPr="005A7877">
        <w:rPr>
          <w:rFonts w:cstheme="minorHAnsi"/>
          <w:i/>
          <w:iCs/>
          <w:lang w:val="en-GB"/>
        </w:rPr>
        <w:t xml:space="preserve">and </w:t>
      </w:r>
      <w:r>
        <w:rPr>
          <w:rFonts w:cstheme="minorHAnsi"/>
          <w:i/>
          <w:iCs/>
          <w:lang w:val="en-GB"/>
        </w:rPr>
        <w:t>are in no way intended</w:t>
      </w:r>
      <w:r w:rsidRPr="005A7877">
        <w:rPr>
          <w:rFonts w:cstheme="minorHAnsi"/>
          <w:i/>
          <w:iCs/>
          <w:lang w:val="en-GB"/>
        </w:rPr>
        <w:t xml:space="preserve"> to be exhaustive</w:t>
      </w:r>
      <w:r w:rsidRPr="005A7877">
        <w:rPr>
          <w:rFonts w:cstheme="minorHAnsi"/>
          <w:lang w:val="en-GB"/>
        </w:rPr>
        <w:t xml:space="preserve">): </w:t>
      </w:r>
    </w:p>
    <w:p w14:paraId="46EE3199" w14:textId="0AC4603E" w:rsidR="001B1A3B" w:rsidRPr="0022392F" w:rsidRDefault="001B1A3B" w:rsidP="001B1A3B">
      <w:pPr>
        <w:pStyle w:val="Beschriftung"/>
        <w:rPr>
          <w:lang w:val="en-GB"/>
        </w:rPr>
      </w:pPr>
      <w:r w:rsidRPr="0022392F">
        <w:rPr>
          <w:lang w:val="en-GB"/>
        </w:rPr>
        <w:t xml:space="preserve">Table </w:t>
      </w:r>
      <w:r w:rsidRPr="0022392F">
        <w:rPr>
          <w:noProof/>
          <w:lang w:val="en-GB"/>
        </w:rPr>
        <w:fldChar w:fldCharType="begin"/>
      </w:r>
      <w:r w:rsidRPr="0022392F">
        <w:rPr>
          <w:noProof/>
          <w:lang w:val="en-GB"/>
        </w:rPr>
        <w:instrText xml:space="preserve"> SEQ Tabelle \* ARABIC </w:instrText>
      </w:r>
      <w:r w:rsidRPr="0022392F">
        <w:rPr>
          <w:noProof/>
          <w:lang w:val="en-GB"/>
        </w:rPr>
        <w:fldChar w:fldCharType="separate"/>
      </w:r>
      <w:r w:rsidR="00C97FD1" w:rsidRPr="0022392F">
        <w:rPr>
          <w:noProof/>
          <w:lang w:val="en-GB"/>
        </w:rPr>
        <w:t>4</w:t>
      </w:r>
      <w:r w:rsidRPr="0022392F">
        <w:rPr>
          <w:noProof/>
          <w:lang w:val="en-GB"/>
        </w:rPr>
        <w:fldChar w:fldCharType="end"/>
      </w:r>
      <w:r w:rsidRPr="0022392F">
        <w:rPr>
          <w:lang w:val="en-GB"/>
        </w:rPr>
        <w:t xml:space="preserve"> IVDR - An</w:t>
      </w:r>
      <w:r w:rsidR="005A7877">
        <w:rPr>
          <w:lang w:val="en-GB"/>
        </w:rPr>
        <w:t>nex</w:t>
      </w:r>
      <w:r w:rsidRPr="0022392F">
        <w:rPr>
          <w:lang w:val="en-GB"/>
        </w:rPr>
        <w:t xml:space="preserve"> I, </w:t>
      </w:r>
      <w:r w:rsidR="005A7877">
        <w:rPr>
          <w:lang w:val="en-GB"/>
        </w:rPr>
        <w:t>Chapter</w:t>
      </w:r>
      <w:r w:rsidRPr="0022392F">
        <w:rPr>
          <w:lang w:val="en-GB"/>
        </w:rPr>
        <w:t xml:space="preserve"> II, </w:t>
      </w:r>
      <w:r w:rsidR="005A7877">
        <w:rPr>
          <w:lang w:val="en-GB"/>
        </w:rPr>
        <w:t>Section</w:t>
      </w:r>
      <w:r w:rsidRPr="0022392F">
        <w:rPr>
          <w:lang w:val="en-GB"/>
        </w:rPr>
        <w:t xml:space="preserve"> 9 a) </w:t>
      </w:r>
      <w:r w:rsidR="005A7877">
        <w:rPr>
          <w:lang w:val="en-GB"/>
        </w:rPr>
        <w:t>and</w:t>
      </w:r>
      <w:r w:rsidRPr="0022392F">
        <w:rPr>
          <w:lang w:val="en-GB"/>
        </w:rPr>
        <w:t xml:space="preserve"> b) </w:t>
      </w:r>
      <w:r w:rsidR="005A7877">
        <w:rPr>
          <w:lang w:val="en-GB"/>
        </w:rPr>
        <w:t>of the</w:t>
      </w:r>
      <w:r w:rsidRPr="0022392F">
        <w:rPr>
          <w:lang w:val="en-GB"/>
        </w:rPr>
        <w:t xml:space="preserve"> IVDR </w:t>
      </w:r>
      <w:r w:rsidR="005A7877">
        <w:rPr>
          <w:lang w:val="en-GB"/>
        </w:rPr>
        <w:t xml:space="preserve">including definition and remarks by the authors </w:t>
      </w:r>
    </w:p>
    <w:tbl>
      <w:tblPr>
        <w:tblStyle w:val="Tabellenraster"/>
        <w:tblW w:w="0" w:type="auto"/>
        <w:tblLayout w:type="fixed"/>
        <w:tblLook w:val="04A0" w:firstRow="1" w:lastRow="0" w:firstColumn="1" w:lastColumn="0" w:noHBand="0" w:noVBand="1"/>
      </w:tblPr>
      <w:tblGrid>
        <w:gridCol w:w="2405"/>
        <w:gridCol w:w="3544"/>
        <w:gridCol w:w="3113"/>
      </w:tblGrid>
      <w:tr w:rsidR="001856AA" w:rsidRPr="00D57BC0" w14:paraId="52944E72" w14:textId="77777777" w:rsidTr="00F72C47">
        <w:trPr>
          <w:trHeight w:val="300"/>
        </w:trPr>
        <w:tc>
          <w:tcPr>
            <w:tcW w:w="2405" w:type="dxa"/>
            <w:hideMark/>
          </w:tcPr>
          <w:p w14:paraId="4A958FE0" w14:textId="77777777" w:rsidR="001856AA" w:rsidRPr="0022392F" w:rsidRDefault="001856AA" w:rsidP="008C1F23">
            <w:pPr>
              <w:jc w:val="both"/>
              <w:rPr>
                <w:rFonts w:cstheme="minorHAnsi"/>
                <w:lang w:val="en-GB"/>
              </w:rPr>
            </w:pPr>
            <w:bookmarkStart w:id="4" w:name="_Hlk80169044"/>
          </w:p>
        </w:tc>
        <w:tc>
          <w:tcPr>
            <w:tcW w:w="3544" w:type="dxa"/>
            <w:hideMark/>
          </w:tcPr>
          <w:p w14:paraId="66BD5BE4" w14:textId="77777777" w:rsidR="001856AA" w:rsidRPr="0022392F" w:rsidRDefault="001856AA" w:rsidP="008C1F23">
            <w:pPr>
              <w:jc w:val="both"/>
              <w:rPr>
                <w:rFonts w:cstheme="minorHAnsi"/>
                <w:lang w:val="en-GB"/>
              </w:rPr>
            </w:pPr>
            <w:r w:rsidRPr="0022392F">
              <w:rPr>
                <w:rFonts w:cstheme="minorHAnsi"/>
                <w:lang w:val="en-GB"/>
              </w:rPr>
              <w:t>Definition</w:t>
            </w:r>
          </w:p>
        </w:tc>
        <w:tc>
          <w:tcPr>
            <w:tcW w:w="3113" w:type="dxa"/>
            <w:hideMark/>
          </w:tcPr>
          <w:p w14:paraId="097B19AA" w14:textId="7A275E8D" w:rsidR="001856AA" w:rsidRPr="0022392F" w:rsidRDefault="005A7877" w:rsidP="008C1F23">
            <w:pPr>
              <w:jc w:val="both"/>
              <w:rPr>
                <w:rFonts w:cstheme="minorHAnsi"/>
                <w:lang w:val="en-GB"/>
              </w:rPr>
            </w:pPr>
            <w:r>
              <w:rPr>
                <w:rFonts w:cstheme="minorHAnsi"/>
                <w:lang w:val="en-GB"/>
              </w:rPr>
              <w:t>Remarks</w:t>
            </w:r>
            <w:r w:rsidR="001856AA" w:rsidRPr="0022392F">
              <w:rPr>
                <w:rFonts w:cstheme="minorHAnsi"/>
                <w:lang w:val="en-GB"/>
              </w:rPr>
              <w:t>/</w:t>
            </w:r>
            <w:r>
              <w:rPr>
                <w:rFonts w:cstheme="minorHAnsi"/>
                <w:lang w:val="en-GB"/>
              </w:rPr>
              <w:t>i</w:t>
            </w:r>
            <w:r w:rsidR="001856AA" w:rsidRPr="0022392F">
              <w:rPr>
                <w:rFonts w:cstheme="minorHAnsi"/>
                <w:lang w:val="en-GB"/>
              </w:rPr>
              <w:t>nterpretation</w:t>
            </w:r>
            <w:r>
              <w:rPr>
                <w:rFonts w:cstheme="minorHAnsi"/>
                <w:lang w:val="en-GB"/>
              </w:rPr>
              <w:t xml:space="preserve"> by the authors</w:t>
            </w:r>
          </w:p>
        </w:tc>
      </w:tr>
      <w:tr w:rsidR="001856AA" w:rsidRPr="00D57BC0" w14:paraId="6FEDA6E7" w14:textId="77777777" w:rsidTr="00F72C47">
        <w:trPr>
          <w:trHeight w:val="590"/>
        </w:trPr>
        <w:tc>
          <w:tcPr>
            <w:tcW w:w="2405" w:type="dxa"/>
            <w:hideMark/>
          </w:tcPr>
          <w:p w14:paraId="1E925464" w14:textId="3BE81123" w:rsidR="001856AA" w:rsidRPr="0022392F" w:rsidRDefault="005A7877" w:rsidP="008C1F23">
            <w:pPr>
              <w:jc w:val="both"/>
              <w:rPr>
                <w:rFonts w:cstheme="minorHAnsi"/>
                <w:b/>
                <w:bCs/>
                <w:u w:val="single"/>
                <w:lang w:val="en-GB"/>
              </w:rPr>
            </w:pPr>
            <w:r>
              <w:rPr>
                <w:rFonts w:cstheme="minorHAnsi"/>
                <w:b/>
                <w:bCs/>
                <w:u w:val="single"/>
                <w:lang w:val="en-GB"/>
              </w:rPr>
              <w:t>Analytical performance</w:t>
            </w:r>
          </w:p>
        </w:tc>
        <w:tc>
          <w:tcPr>
            <w:tcW w:w="3544" w:type="dxa"/>
            <w:hideMark/>
          </w:tcPr>
          <w:p w14:paraId="6EBC4629" w14:textId="0878224A" w:rsidR="001856AA" w:rsidRPr="0022392F" w:rsidRDefault="005A7877" w:rsidP="008C1F23">
            <w:pPr>
              <w:jc w:val="both"/>
              <w:rPr>
                <w:rFonts w:cstheme="minorHAnsi"/>
                <w:lang w:val="en-GB"/>
              </w:rPr>
            </w:pPr>
            <w:r w:rsidRPr="005A7877">
              <w:rPr>
                <w:rFonts w:cstheme="minorHAnsi"/>
                <w:lang w:val="en-GB"/>
              </w:rPr>
              <w:t xml:space="preserve">Ability of a </w:t>
            </w:r>
            <w:r>
              <w:rPr>
                <w:rFonts w:cstheme="minorHAnsi"/>
                <w:lang w:val="en-GB"/>
              </w:rPr>
              <w:t>device</w:t>
            </w:r>
            <w:r w:rsidRPr="005A7877">
              <w:rPr>
                <w:rFonts w:cstheme="minorHAnsi"/>
                <w:lang w:val="en-GB"/>
              </w:rPr>
              <w:t xml:space="preserve"> to correctly detect or measure a particular </w:t>
            </w:r>
            <w:r w:rsidR="00917091">
              <w:rPr>
                <w:rFonts w:cstheme="minorHAnsi"/>
                <w:lang w:val="en-GB"/>
              </w:rPr>
              <w:t>analyte</w:t>
            </w:r>
            <w:r w:rsidRPr="005A7877">
              <w:rPr>
                <w:rFonts w:cstheme="minorHAnsi"/>
                <w:lang w:val="en-GB"/>
              </w:rPr>
              <w:t>;</w:t>
            </w:r>
            <w:r>
              <w:rPr>
                <w:rFonts w:cstheme="minorHAnsi"/>
                <w:lang w:val="en-GB"/>
              </w:rPr>
              <w:t xml:space="preserve"> </w:t>
            </w:r>
          </w:p>
        </w:tc>
        <w:tc>
          <w:tcPr>
            <w:tcW w:w="3113" w:type="dxa"/>
            <w:hideMark/>
          </w:tcPr>
          <w:p w14:paraId="47DC77D3" w14:textId="77777777" w:rsidR="001856AA" w:rsidRPr="0022392F" w:rsidRDefault="001856AA" w:rsidP="008C1F23">
            <w:pPr>
              <w:jc w:val="both"/>
              <w:rPr>
                <w:rFonts w:cstheme="minorHAnsi"/>
                <w:lang w:val="en-GB"/>
              </w:rPr>
            </w:pPr>
          </w:p>
        </w:tc>
      </w:tr>
      <w:tr w:rsidR="001856AA" w:rsidRPr="00D57BC0" w14:paraId="265B085B" w14:textId="77777777" w:rsidTr="00F72C47">
        <w:trPr>
          <w:trHeight w:val="590"/>
        </w:trPr>
        <w:tc>
          <w:tcPr>
            <w:tcW w:w="2405" w:type="dxa"/>
            <w:hideMark/>
          </w:tcPr>
          <w:p w14:paraId="0B28D02D" w14:textId="3290413B" w:rsidR="001856AA" w:rsidRPr="0022392F" w:rsidRDefault="00D07E40" w:rsidP="008C1F23">
            <w:pPr>
              <w:jc w:val="both"/>
              <w:rPr>
                <w:rFonts w:cstheme="minorHAnsi"/>
                <w:lang w:val="en-GB"/>
              </w:rPr>
            </w:pPr>
            <w:r>
              <w:rPr>
                <w:rFonts w:cstheme="minorHAnsi"/>
                <w:lang w:val="en-GB"/>
              </w:rPr>
              <w:t>A</w:t>
            </w:r>
            <w:r w:rsidR="001856AA" w:rsidRPr="0022392F">
              <w:rPr>
                <w:rFonts w:cstheme="minorHAnsi"/>
                <w:lang w:val="en-GB"/>
              </w:rPr>
              <w:t>nalyti</w:t>
            </w:r>
            <w:r>
              <w:rPr>
                <w:rFonts w:cstheme="minorHAnsi"/>
                <w:lang w:val="en-GB"/>
              </w:rPr>
              <w:t xml:space="preserve">cal sensitivity </w:t>
            </w:r>
          </w:p>
        </w:tc>
        <w:tc>
          <w:tcPr>
            <w:tcW w:w="3544" w:type="dxa"/>
            <w:hideMark/>
          </w:tcPr>
          <w:p w14:paraId="241FEEBD" w14:textId="089DCE8E" w:rsidR="000B16D5" w:rsidRPr="0022392F" w:rsidRDefault="00D07E40" w:rsidP="008C1F23">
            <w:pPr>
              <w:jc w:val="both"/>
              <w:rPr>
                <w:rFonts w:cstheme="minorHAnsi"/>
                <w:highlight w:val="cyan"/>
                <w:lang w:val="en-GB"/>
              </w:rPr>
            </w:pPr>
            <w:r w:rsidRPr="00D07E40">
              <w:rPr>
                <w:rFonts w:cstheme="minorHAnsi"/>
                <w:lang w:val="en-GB"/>
              </w:rPr>
              <w:t xml:space="preserve">Analytical sensitivity </w:t>
            </w:r>
            <w:r>
              <w:rPr>
                <w:rFonts w:cstheme="minorHAnsi"/>
                <w:lang w:val="en-GB"/>
              </w:rPr>
              <w:t>is</w:t>
            </w:r>
            <w:r w:rsidRPr="00D07E40">
              <w:rPr>
                <w:rFonts w:cstheme="minorHAnsi"/>
                <w:lang w:val="en-GB"/>
              </w:rPr>
              <w:t xml:space="preserve"> defined as the limit of detection, i.e.</w:t>
            </w:r>
            <w:r>
              <w:rPr>
                <w:rFonts w:cstheme="minorHAnsi"/>
                <w:lang w:val="en-GB"/>
              </w:rPr>
              <w:t>,</w:t>
            </w:r>
            <w:r w:rsidRPr="00D07E40">
              <w:rPr>
                <w:rFonts w:cstheme="minorHAnsi"/>
                <w:lang w:val="en-GB"/>
              </w:rPr>
              <w:t xml:space="preserve"> the smallest amount of the target marker that can be accurately detected. </w:t>
            </w:r>
          </w:p>
          <w:p w14:paraId="37C70353" w14:textId="5EB424F3" w:rsidR="000B16D5" w:rsidRPr="0022392F" w:rsidRDefault="000B16D5" w:rsidP="008C1F23">
            <w:pPr>
              <w:jc w:val="both"/>
              <w:rPr>
                <w:rFonts w:cstheme="minorHAnsi"/>
                <w:lang w:val="en-GB"/>
              </w:rPr>
            </w:pPr>
          </w:p>
        </w:tc>
        <w:tc>
          <w:tcPr>
            <w:tcW w:w="3113" w:type="dxa"/>
            <w:shd w:val="clear" w:color="auto" w:fill="auto"/>
            <w:hideMark/>
          </w:tcPr>
          <w:p w14:paraId="68D74ABC" w14:textId="1401D09B" w:rsidR="001856AA" w:rsidRPr="0022392F" w:rsidRDefault="00D07E40" w:rsidP="00D07E40">
            <w:pPr>
              <w:jc w:val="both"/>
              <w:rPr>
                <w:rFonts w:cstheme="minorHAnsi"/>
                <w:lang w:val="en-GB"/>
              </w:rPr>
            </w:pPr>
            <w:r w:rsidRPr="00D07E40">
              <w:rPr>
                <w:rFonts w:cstheme="minorHAnsi"/>
                <w:lang w:val="en-GB"/>
              </w:rPr>
              <w:t xml:space="preserve">In order to </w:t>
            </w:r>
            <w:r>
              <w:rPr>
                <w:rFonts w:cstheme="minorHAnsi"/>
                <w:lang w:val="en-GB"/>
              </w:rPr>
              <w:t xml:space="preserve">draw conclusions </w:t>
            </w:r>
            <w:r w:rsidRPr="00D07E40">
              <w:rPr>
                <w:rFonts w:cstheme="minorHAnsi"/>
                <w:lang w:val="en-GB"/>
              </w:rPr>
              <w:t>about the analytical sensitivity, it is necessary to consider, for example, the limit of quantification (LOQ) and limit of detection (LOD) as well as the measuring range and linearity.</w:t>
            </w:r>
            <w:r>
              <w:rPr>
                <w:rFonts w:cstheme="minorHAnsi"/>
                <w:lang w:val="en-GB"/>
              </w:rPr>
              <w:t xml:space="preserve"> </w:t>
            </w:r>
          </w:p>
        </w:tc>
      </w:tr>
      <w:tr w:rsidR="001856AA" w:rsidRPr="00D57BC0" w14:paraId="03FBA8F2" w14:textId="77777777" w:rsidTr="00F72C47">
        <w:trPr>
          <w:trHeight w:val="880"/>
        </w:trPr>
        <w:tc>
          <w:tcPr>
            <w:tcW w:w="2405" w:type="dxa"/>
            <w:hideMark/>
          </w:tcPr>
          <w:p w14:paraId="0D5C60C8" w14:textId="660FC9CC" w:rsidR="001856AA" w:rsidRPr="0022392F" w:rsidRDefault="00D07E40" w:rsidP="008C1F23">
            <w:pPr>
              <w:jc w:val="both"/>
              <w:rPr>
                <w:rFonts w:cstheme="minorHAnsi"/>
                <w:lang w:val="en-GB"/>
              </w:rPr>
            </w:pPr>
            <w:r>
              <w:rPr>
                <w:rFonts w:cstheme="minorHAnsi"/>
                <w:lang w:val="en-GB"/>
              </w:rPr>
              <w:t>A</w:t>
            </w:r>
            <w:r w:rsidR="001856AA" w:rsidRPr="0022392F">
              <w:rPr>
                <w:rFonts w:cstheme="minorHAnsi"/>
                <w:lang w:val="en-GB"/>
              </w:rPr>
              <w:t>nalyti</w:t>
            </w:r>
            <w:r>
              <w:rPr>
                <w:rFonts w:cstheme="minorHAnsi"/>
                <w:lang w:val="en-GB"/>
              </w:rPr>
              <w:t xml:space="preserve">cal specificity </w:t>
            </w:r>
          </w:p>
        </w:tc>
        <w:tc>
          <w:tcPr>
            <w:tcW w:w="3544" w:type="dxa"/>
          </w:tcPr>
          <w:p w14:paraId="2BF98457" w14:textId="2922FF3D" w:rsidR="001856AA" w:rsidRPr="0022392F" w:rsidRDefault="00D07E40" w:rsidP="008E3088">
            <w:pPr>
              <w:jc w:val="both"/>
              <w:rPr>
                <w:rFonts w:cstheme="minorHAnsi"/>
                <w:lang w:val="en-GB"/>
              </w:rPr>
            </w:pPr>
            <w:r w:rsidRPr="00D07E40">
              <w:rPr>
                <w:rFonts w:cstheme="minorHAnsi"/>
                <w:lang w:val="en-GB"/>
              </w:rPr>
              <w:t xml:space="preserve">Analytical specificity describes the extent to which the </w:t>
            </w:r>
            <w:r>
              <w:rPr>
                <w:rFonts w:cstheme="minorHAnsi"/>
                <w:lang w:val="en-GB"/>
              </w:rPr>
              <w:t xml:space="preserve">testing </w:t>
            </w:r>
            <w:r w:rsidRPr="00D07E40">
              <w:rPr>
                <w:rFonts w:cstheme="minorHAnsi"/>
                <w:lang w:val="en-GB"/>
              </w:rPr>
              <w:t xml:space="preserve">method measures only what it </w:t>
            </w:r>
            <w:r w:rsidR="00F72C47">
              <w:rPr>
                <w:rFonts w:cstheme="minorHAnsi"/>
                <w:lang w:val="en-GB"/>
              </w:rPr>
              <w:t>intends</w:t>
            </w:r>
            <w:r w:rsidRPr="00D07E40">
              <w:rPr>
                <w:rFonts w:cstheme="minorHAnsi"/>
                <w:lang w:val="en-GB"/>
              </w:rPr>
              <w:t xml:space="preserve"> to measure. </w:t>
            </w:r>
          </w:p>
        </w:tc>
        <w:tc>
          <w:tcPr>
            <w:tcW w:w="3113" w:type="dxa"/>
            <w:hideMark/>
          </w:tcPr>
          <w:p w14:paraId="1E56D37A" w14:textId="2561316D" w:rsidR="001856AA" w:rsidRPr="0022392F" w:rsidRDefault="00D07E40" w:rsidP="008C1F23">
            <w:pPr>
              <w:jc w:val="both"/>
              <w:rPr>
                <w:rFonts w:cstheme="minorHAnsi"/>
                <w:lang w:val="en-GB"/>
              </w:rPr>
            </w:pPr>
            <w:r w:rsidRPr="00D07E40">
              <w:rPr>
                <w:rFonts w:cstheme="minorHAnsi"/>
                <w:lang w:val="en-GB"/>
              </w:rPr>
              <w:t xml:space="preserve">If similar substances in the matrix influence the </w:t>
            </w:r>
            <w:r w:rsidR="003626FF">
              <w:rPr>
                <w:rFonts w:cstheme="minorHAnsi"/>
                <w:lang w:val="en-GB"/>
              </w:rPr>
              <w:t xml:space="preserve">lab </w:t>
            </w:r>
            <w:r w:rsidRPr="00D07E40">
              <w:rPr>
                <w:rFonts w:cstheme="minorHAnsi"/>
                <w:lang w:val="en-GB"/>
              </w:rPr>
              <w:t xml:space="preserve">measurement, </w:t>
            </w:r>
            <w:r w:rsidR="003626FF">
              <w:rPr>
                <w:rFonts w:cstheme="minorHAnsi"/>
                <w:lang w:val="en-GB"/>
              </w:rPr>
              <w:t>it is called a</w:t>
            </w:r>
            <w:r w:rsidRPr="00D07E40">
              <w:rPr>
                <w:rFonts w:cstheme="minorHAnsi"/>
                <w:lang w:val="en-GB"/>
              </w:rPr>
              <w:t xml:space="preserve"> cross-reaction.</w:t>
            </w:r>
            <w:r w:rsidR="003626FF">
              <w:rPr>
                <w:rFonts w:cstheme="minorHAnsi"/>
                <w:lang w:val="en-GB"/>
              </w:rPr>
              <w:t xml:space="preserve"> </w:t>
            </w:r>
          </w:p>
        </w:tc>
      </w:tr>
      <w:tr w:rsidR="001856AA" w:rsidRPr="00D57BC0" w14:paraId="1E494782" w14:textId="77777777" w:rsidTr="00F72C47">
        <w:trPr>
          <w:trHeight w:val="2330"/>
        </w:trPr>
        <w:tc>
          <w:tcPr>
            <w:tcW w:w="2405" w:type="dxa"/>
            <w:hideMark/>
          </w:tcPr>
          <w:p w14:paraId="688CF32D" w14:textId="42AD4BB9" w:rsidR="001856AA" w:rsidRPr="0022392F" w:rsidRDefault="003626FF" w:rsidP="008C1F23">
            <w:pPr>
              <w:jc w:val="both"/>
              <w:rPr>
                <w:rFonts w:cstheme="minorHAnsi"/>
                <w:lang w:val="en-GB"/>
              </w:rPr>
            </w:pPr>
            <w:r>
              <w:rPr>
                <w:rFonts w:cstheme="minorHAnsi"/>
                <w:lang w:val="en-GB"/>
              </w:rPr>
              <w:t>Trueness</w:t>
            </w:r>
            <w:r w:rsidR="001856AA" w:rsidRPr="0022392F">
              <w:rPr>
                <w:rFonts w:cstheme="minorHAnsi"/>
                <w:lang w:val="en-GB"/>
              </w:rPr>
              <w:t xml:space="preserve"> (</w:t>
            </w:r>
            <w:r>
              <w:rPr>
                <w:rFonts w:cstheme="minorHAnsi"/>
                <w:lang w:val="en-GB"/>
              </w:rPr>
              <w:t>bias</w:t>
            </w:r>
            <w:r w:rsidR="001856AA" w:rsidRPr="0022392F">
              <w:rPr>
                <w:rFonts w:cstheme="minorHAnsi"/>
                <w:lang w:val="en-GB"/>
              </w:rPr>
              <w:t>)</w:t>
            </w:r>
          </w:p>
        </w:tc>
        <w:tc>
          <w:tcPr>
            <w:tcW w:w="3544" w:type="dxa"/>
            <w:hideMark/>
          </w:tcPr>
          <w:p w14:paraId="0259E616" w14:textId="67CD54EE" w:rsidR="001856AA" w:rsidRPr="0022392F" w:rsidRDefault="003626FF" w:rsidP="008E3088">
            <w:pPr>
              <w:jc w:val="both"/>
              <w:rPr>
                <w:rFonts w:cstheme="minorHAnsi"/>
                <w:lang w:val="en-GB"/>
              </w:rPr>
            </w:pPr>
            <w:r w:rsidRPr="003626FF">
              <w:rPr>
                <w:rFonts w:cstheme="minorHAnsi"/>
                <w:lang w:val="en-GB"/>
              </w:rPr>
              <w:t xml:space="preserve">The </w:t>
            </w:r>
            <w:r>
              <w:rPr>
                <w:rFonts w:cstheme="minorHAnsi"/>
                <w:lang w:val="en-GB"/>
              </w:rPr>
              <w:t>closeness</w:t>
            </w:r>
            <w:r w:rsidRPr="003626FF">
              <w:rPr>
                <w:rFonts w:cstheme="minorHAnsi"/>
                <w:lang w:val="en-GB"/>
              </w:rPr>
              <w:t xml:space="preserve"> of agreement between the measured value and the expected value</w:t>
            </w:r>
            <w:r w:rsidR="001856AA" w:rsidRPr="0022392F">
              <w:rPr>
                <w:rFonts w:cstheme="minorHAnsi"/>
                <w:lang w:val="en-GB"/>
              </w:rPr>
              <w:t>.</w:t>
            </w:r>
            <w:r w:rsidR="008C0F37" w:rsidRPr="0022392F">
              <w:rPr>
                <w:rFonts w:cstheme="minorHAnsi"/>
                <w:lang w:val="en-GB"/>
              </w:rPr>
              <w:t xml:space="preserve"> </w:t>
            </w:r>
          </w:p>
        </w:tc>
        <w:tc>
          <w:tcPr>
            <w:tcW w:w="3113" w:type="dxa"/>
            <w:hideMark/>
          </w:tcPr>
          <w:p w14:paraId="4DDC7A36" w14:textId="0A469C84" w:rsidR="001856AA" w:rsidRPr="0022392F" w:rsidRDefault="003626FF" w:rsidP="008E3088">
            <w:pPr>
              <w:jc w:val="both"/>
              <w:rPr>
                <w:rFonts w:cstheme="minorHAnsi"/>
                <w:lang w:val="en-GB"/>
              </w:rPr>
            </w:pPr>
            <w:r w:rsidRPr="003626FF">
              <w:rPr>
                <w:rFonts w:cstheme="minorHAnsi"/>
                <w:lang w:val="en-GB"/>
              </w:rPr>
              <w:t xml:space="preserve">The expected value can be determined </w:t>
            </w:r>
            <w:r>
              <w:rPr>
                <w:rFonts w:cstheme="minorHAnsi"/>
                <w:lang w:val="en-GB"/>
              </w:rPr>
              <w:t>using</w:t>
            </w:r>
            <w:r w:rsidRPr="003626FF">
              <w:rPr>
                <w:rFonts w:cstheme="minorHAnsi"/>
                <w:lang w:val="en-GB"/>
              </w:rPr>
              <w:t xml:space="preserve"> a reference material. For methods without a reference material, </w:t>
            </w:r>
            <w:r>
              <w:rPr>
                <w:rFonts w:cstheme="minorHAnsi"/>
                <w:lang w:val="en-GB"/>
              </w:rPr>
              <w:t>trueness</w:t>
            </w:r>
            <w:r w:rsidRPr="003626FF">
              <w:rPr>
                <w:rFonts w:cstheme="minorHAnsi"/>
                <w:lang w:val="en-GB"/>
              </w:rPr>
              <w:t xml:space="preserve"> can be </w:t>
            </w:r>
            <w:r w:rsidR="0015132A">
              <w:rPr>
                <w:rFonts w:cstheme="minorHAnsi"/>
                <w:lang w:val="en-GB"/>
              </w:rPr>
              <w:t>verified in a comparison with</w:t>
            </w:r>
            <w:r w:rsidRPr="003626FF">
              <w:rPr>
                <w:rFonts w:cstheme="minorHAnsi"/>
                <w:lang w:val="en-GB"/>
              </w:rPr>
              <w:t xml:space="preserve"> another method</w:t>
            </w:r>
            <w:r w:rsidR="00917091">
              <w:rPr>
                <w:rFonts w:cstheme="minorHAnsi"/>
                <w:lang w:val="en-GB"/>
              </w:rPr>
              <w:t xml:space="preserve"> and the</w:t>
            </w:r>
            <w:r w:rsidRPr="003626FF">
              <w:rPr>
                <w:rFonts w:cstheme="minorHAnsi"/>
                <w:lang w:val="en-GB"/>
              </w:rPr>
              <w:t xml:space="preserve"> agreement with this method can be reported.</w:t>
            </w:r>
            <w:r>
              <w:rPr>
                <w:rFonts w:cstheme="minorHAnsi"/>
                <w:lang w:val="en-GB"/>
              </w:rPr>
              <w:t xml:space="preserve"> </w:t>
            </w:r>
          </w:p>
        </w:tc>
      </w:tr>
      <w:tr w:rsidR="001856AA" w:rsidRPr="00D57BC0" w14:paraId="4FDFD022" w14:textId="77777777" w:rsidTr="00F72C47">
        <w:trPr>
          <w:trHeight w:val="2088"/>
        </w:trPr>
        <w:tc>
          <w:tcPr>
            <w:tcW w:w="2405" w:type="dxa"/>
            <w:hideMark/>
          </w:tcPr>
          <w:p w14:paraId="7C490131" w14:textId="1D3584CD" w:rsidR="001856AA" w:rsidRPr="0022392F" w:rsidRDefault="001856AA" w:rsidP="008C1F23">
            <w:pPr>
              <w:jc w:val="both"/>
              <w:rPr>
                <w:rFonts w:cstheme="minorHAnsi"/>
                <w:lang w:val="en-GB"/>
              </w:rPr>
            </w:pPr>
            <w:r w:rsidRPr="0022392F">
              <w:rPr>
                <w:rFonts w:cstheme="minorHAnsi"/>
                <w:lang w:val="en-GB"/>
              </w:rPr>
              <w:t>Pr</w:t>
            </w:r>
            <w:r w:rsidR="003626FF">
              <w:rPr>
                <w:rFonts w:cstheme="minorHAnsi"/>
                <w:lang w:val="en-GB"/>
              </w:rPr>
              <w:t>ecision</w:t>
            </w:r>
            <w:r w:rsidR="00780CF2" w:rsidRPr="0022392F">
              <w:rPr>
                <w:rFonts w:cstheme="minorHAnsi"/>
                <w:lang w:val="en-GB"/>
              </w:rPr>
              <w:t xml:space="preserve"> (</w:t>
            </w:r>
            <w:r w:rsidR="003626FF">
              <w:rPr>
                <w:rFonts w:cstheme="minorHAnsi"/>
                <w:lang w:val="en-GB"/>
              </w:rPr>
              <w:t xml:space="preserve">repeatability and reproducibility) </w:t>
            </w:r>
          </w:p>
        </w:tc>
        <w:tc>
          <w:tcPr>
            <w:tcW w:w="3544" w:type="dxa"/>
            <w:hideMark/>
          </w:tcPr>
          <w:p w14:paraId="17BFB322" w14:textId="7846B1AD" w:rsidR="001856AA" w:rsidRPr="0022392F" w:rsidRDefault="00EE4F81" w:rsidP="008E3088">
            <w:pPr>
              <w:jc w:val="both"/>
              <w:rPr>
                <w:rFonts w:cstheme="minorHAnsi"/>
                <w:lang w:val="en-GB"/>
              </w:rPr>
            </w:pPr>
            <w:r w:rsidRPr="00EE4F81">
              <w:rPr>
                <w:rFonts w:cstheme="minorHAnsi"/>
                <w:lang w:val="en-GB"/>
              </w:rPr>
              <w:t xml:space="preserve">Agreement between </w:t>
            </w:r>
            <w:r>
              <w:rPr>
                <w:rFonts w:cstheme="minorHAnsi"/>
                <w:lang w:val="en-GB"/>
              </w:rPr>
              <w:t xml:space="preserve">the </w:t>
            </w:r>
            <w:r w:rsidR="00F72C47">
              <w:rPr>
                <w:rFonts w:cstheme="minorHAnsi"/>
                <w:lang w:val="en-GB"/>
              </w:rPr>
              <w:t>different</w:t>
            </w:r>
            <w:r w:rsidRPr="00EE4F81">
              <w:rPr>
                <w:rFonts w:cstheme="minorHAnsi"/>
                <w:lang w:val="en-GB"/>
              </w:rPr>
              <w:t xml:space="preserve"> independent measurement results of a sample in a measurement series or between different measurement series (various factors such as user, device, reagent batch, etc. may vary). </w:t>
            </w:r>
          </w:p>
        </w:tc>
        <w:tc>
          <w:tcPr>
            <w:tcW w:w="3113" w:type="dxa"/>
            <w:hideMark/>
          </w:tcPr>
          <w:p w14:paraId="3047DC6B" w14:textId="41E0F639" w:rsidR="001856AA" w:rsidRPr="0022392F" w:rsidRDefault="00EE4F81" w:rsidP="008C1F23">
            <w:pPr>
              <w:jc w:val="both"/>
              <w:rPr>
                <w:rFonts w:cstheme="minorHAnsi"/>
                <w:lang w:val="en-GB"/>
              </w:rPr>
            </w:pPr>
            <w:r w:rsidRPr="00EE4F81">
              <w:rPr>
                <w:rFonts w:cstheme="minorHAnsi"/>
                <w:lang w:val="en-GB"/>
              </w:rPr>
              <w:t>Precision is indicated by the coefficient of variation (relative standard deviation).</w:t>
            </w:r>
            <w:r>
              <w:rPr>
                <w:rFonts w:cstheme="minorHAnsi"/>
                <w:lang w:val="en-GB"/>
              </w:rPr>
              <w:t xml:space="preserve"> </w:t>
            </w:r>
          </w:p>
        </w:tc>
      </w:tr>
      <w:tr w:rsidR="001856AA" w:rsidRPr="00D57BC0" w14:paraId="21E7474C" w14:textId="77777777" w:rsidTr="00F72C47">
        <w:trPr>
          <w:trHeight w:val="432"/>
        </w:trPr>
        <w:tc>
          <w:tcPr>
            <w:tcW w:w="2405" w:type="dxa"/>
            <w:hideMark/>
          </w:tcPr>
          <w:p w14:paraId="58408B55" w14:textId="660746F7" w:rsidR="001856AA" w:rsidRPr="0022392F" w:rsidRDefault="00EE4F81" w:rsidP="008C1F23">
            <w:pPr>
              <w:jc w:val="both"/>
              <w:rPr>
                <w:rFonts w:cstheme="minorHAnsi"/>
                <w:lang w:val="en-GB"/>
              </w:rPr>
            </w:pPr>
            <w:r>
              <w:rPr>
                <w:rFonts w:cstheme="minorHAnsi"/>
                <w:lang w:val="en-GB"/>
              </w:rPr>
              <w:t>Accuracy</w:t>
            </w:r>
          </w:p>
        </w:tc>
        <w:tc>
          <w:tcPr>
            <w:tcW w:w="3544" w:type="dxa"/>
            <w:hideMark/>
          </w:tcPr>
          <w:p w14:paraId="3F2E13B2" w14:textId="1202672F" w:rsidR="001856AA" w:rsidRPr="0022392F" w:rsidRDefault="00F72C47" w:rsidP="008C1F23">
            <w:pPr>
              <w:jc w:val="both"/>
              <w:rPr>
                <w:rFonts w:cstheme="minorHAnsi"/>
                <w:lang w:val="en-GB"/>
              </w:rPr>
            </w:pPr>
            <w:r>
              <w:rPr>
                <w:rFonts w:cstheme="minorHAnsi"/>
                <w:lang w:val="en-GB"/>
              </w:rPr>
              <w:t>Resulting from</w:t>
            </w:r>
            <w:r w:rsidR="00EE4F81">
              <w:rPr>
                <w:rFonts w:cstheme="minorHAnsi"/>
                <w:lang w:val="en-GB"/>
              </w:rPr>
              <w:t xml:space="preserve"> trueness and precision </w:t>
            </w:r>
          </w:p>
        </w:tc>
        <w:tc>
          <w:tcPr>
            <w:tcW w:w="3113" w:type="dxa"/>
            <w:hideMark/>
          </w:tcPr>
          <w:p w14:paraId="65B66901" w14:textId="77777777" w:rsidR="001856AA" w:rsidRPr="0022392F" w:rsidRDefault="001856AA" w:rsidP="008C1F23">
            <w:pPr>
              <w:jc w:val="both"/>
              <w:rPr>
                <w:rFonts w:cstheme="minorHAnsi"/>
                <w:lang w:val="en-GB"/>
              </w:rPr>
            </w:pPr>
          </w:p>
        </w:tc>
      </w:tr>
      <w:tr w:rsidR="001856AA" w:rsidRPr="00D57BC0" w14:paraId="3660630B" w14:textId="77777777" w:rsidTr="00F72C47">
        <w:trPr>
          <w:trHeight w:val="1171"/>
        </w:trPr>
        <w:tc>
          <w:tcPr>
            <w:tcW w:w="2405" w:type="dxa"/>
            <w:hideMark/>
          </w:tcPr>
          <w:p w14:paraId="40A6F2B8" w14:textId="4A5352D5" w:rsidR="001856AA" w:rsidRPr="0022392F" w:rsidRDefault="00EE4F81" w:rsidP="008C0F37">
            <w:pPr>
              <w:jc w:val="both"/>
              <w:rPr>
                <w:rFonts w:cstheme="minorHAnsi"/>
                <w:lang w:val="en-GB"/>
              </w:rPr>
            </w:pPr>
            <w:r>
              <w:rPr>
                <w:rFonts w:cstheme="minorHAnsi"/>
                <w:lang w:val="en-GB"/>
              </w:rPr>
              <w:t>Limits of detection</w:t>
            </w:r>
          </w:p>
        </w:tc>
        <w:tc>
          <w:tcPr>
            <w:tcW w:w="3544" w:type="dxa"/>
            <w:hideMark/>
          </w:tcPr>
          <w:p w14:paraId="4D857BEC" w14:textId="29C60705" w:rsidR="00EA26DE" w:rsidRPr="0022392F" w:rsidRDefault="00EE4F81" w:rsidP="00EA26DE">
            <w:pPr>
              <w:jc w:val="both"/>
              <w:rPr>
                <w:rFonts w:cstheme="minorHAnsi"/>
                <w:lang w:val="en-GB"/>
              </w:rPr>
            </w:pPr>
            <w:r>
              <w:rPr>
                <w:rFonts w:cstheme="minorHAnsi"/>
                <w:lang w:val="en-GB"/>
              </w:rPr>
              <w:t xml:space="preserve">The </w:t>
            </w:r>
            <w:r w:rsidR="008C0F37" w:rsidRPr="0022392F">
              <w:rPr>
                <w:rFonts w:cstheme="minorHAnsi"/>
                <w:lang w:val="en-GB"/>
              </w:rPr>
              <w:t>limit of detection</w:t>
            </w:r>
            <w:r>
              <w:rPr>
                <w:rFonts w:cstheme="minorHAnsi"/>
                <w:lang w:val="en-GB"/>
              </w:rPr>
              <w:t xml:space="preserve"> (LOD</w:t>
            </w:r>
            <w:r w:rsidR="008C0F37" w:rsidRPr="0022392F">
              <w:rPr>
                <w:rFonts w:cstheme="minorHAnsi"/>
                <w:lang w:val="en-GB"/>
              </w:rPr>
              <w:t>)</w:t>
            </w:r>
            <w:r>
              <w:rPr>
                <w:rFonts w:cstheme="minorHAnsi"/>
                <w:lang w:val="en-GB"/>
              </w:rPr>
              <w:t xml:space="preserve"> is the smallest value that can be detected by this method. </w:t>
            </w:r>
          </w:p>
          <w:p w14:paraId="0065694E" w14:textId="0D214EBC" w:rsidR="001856AA" w:rsidRPr="0022392F" w:rsidRDefault="001856AA" w:rsidP="00520AB9">
            <w:pPr>
              <w:rPr>
                <w:rFonts w:cstheme="minorHAnsi"/>
                <w:lang w:val="en-GB"/>
              </w:rPr>
            </w:pPr>
          </w:p>
        </w:tc>
        <w:tc>
          <w:tcPr>
            <w:tcW w:w="3113" w:type="dxa"/>
            <w:hideMark/>
          </w:tcPr>
          <w:p w14:paraId="0B4021E1" w14:textId="1EFC4755" w:rsidR="001856AA" w:rsidRPr="0022392F" w:rsidRDefault="00EE4F81" w:rsidP="008C1F23">
            <w:pPr>
              <w:jc w:val="both"/>
              <w:rPr>
                <w:rFonts w:cstheme="minorHAnsi"/>
                <w:lang w:val="en-GB"/>
              </w:rPr>
            </w:pPr>
            <w:r>
              <w:rPr>
                <w:rFonts w:cstheme="minorHAnsi"/>
                <w:lang w:val="en-GB"/>
              </w:rPr>
              <w:t xml:space="preserve">LOD is sufficient for qualitative methods, whereas the LOQ should be determined for quantitative methods. </w:t>
            </w:r>
          </w:p>
        </w:tc>
      </w:tr>
      <w:tr w:rsidR="008C0F37" w:rsidRPr="00D57BC0" w14:paraId="2A9678BB" w14:textId="77777777" w:rsidTr="00F72C47">
        <w:trPr>
          <w:trHeight w:val="1362"/>
        </w:trPr>
        <w:tc>
          <w:tcPr>
            <w:tcW w:w="2405" w:type="dxa"/>
          </w:tcPr>
          <w:p w14:paraId="4DD81507" w14:textId="4D318D87" w:rsidR="008C0F37" w:rsidRPr="0022392F" w:rsidRDefault="00C6008F" w:rsidP="008C1F23">
            <w:pPr>
              <w:jc w:val="both"/>
              <w:rPr>
                <w:rFonts w:cstheme="minorHAnsi"/>
                <w:lang w:val="en-GB"/>
              </w:rPr>
            </w:pPr>
            <w:r>
              <w:rPr>
                <w:rFonts w:cstheme="minorHAnsi"/>
                <w:lang w:val="en-GB"/>
              </w:rPr>
              <w:t>Limits of quantification</w:t>
            </w:r>
          </w:p>
        </w:tc>
        <w:tc>
          <w:tcPr>
            <w:tcW w:w="3544" w:type="dxa"/>
          </w:tcPr>
          <w:p w14:paraId="75AB995D" w14:textId="14EA1813" w:rsidR="008C0F37" w:rsidRPr="0022392F" w:rsidRDefault="00C6008F" w:rsidP="008E3088">
            <w:pPr>
              <w:jc w:val="both"/>
              <w:rPr>
                <w:rFonts w:cstheme="minorHAnsi"/>
                <w:lang w:val="en-GB"/>
              </w:rPr>
            </w:pPr>
            <w:r>
              <w:rPr>
                <w:rFonts w:cstheme="minorHAnsi"/>
                <w:lang w:val="en-GB"/>
              </w:rPr>
              <w:t xml:space="preserve">The </w:t>
            </w:r>
            <w:r w:rsidRPr="0022392F">
              <w:rPr>
                <w:rFonts w:cstheme="minorHAnsi"/>
                <w:lang w:val="en-GB"/>
              </w:rPr>
              <w:t xml:space="preserve">lower limit of quantification </w:t>
            </w:r>
            <w:r w:rsidR="008C0F37" w:rsidRPr="0022392F">
              <w:rPr>
                <w:rFonts w:cstheme="minorHAnsi"/>
                <w:lang w:val="en-GB"/>
              </w:rPr>
              <w:t>(</w:t>
            </w:r>
            <w:r w:rsidRPr="0022392F">
              <w:rPr>
                <w:rFonts w:cstheme="minorHAnsi"/>
                <w:lang w:val="en-GB"/>
              </w:rPr>
              <w:t>LLOQ</w:t>
            </w:r>
            <w:r w:rsidR="008C0F37" w:rsidRPr="0022392F">
              <w:rPr>
                <w:rFonts w:cstheme="minorHAnsi"/>
                <w:lang w:val="en-GB"/>
              </w:rPr>
              <w:t>)</w:t>
            </w:r>
            <w:r w:rsidRPr="00E1456B">
              <w:rPr>
                <w:lang w:val="en-GB"/>
              </w:rPr>
              <w:t xml:space="preserve"> </w:t>
            </w:r>
            <w:r w:rsidRPr="00C6008F">
              <w:rPr>
                <w:rFonts w:cstheme="minorHAnsi"/>
                <w:lang w:val="en-GB"/>
              </w:rPr>
              <w:t xml:space="preserve">is the smallest determinable quantitative value that can be determined with an acceptable </w:t>
            </w:r>
            <w:r>
              <w:rPr>
                <w:rFonts w:cstheme="minorHAnsi"/>
                <w:lang w:val="en-GB"/>
              </w:rPr>
              <w:t xml:space="preserve">level of </w:t>
            </w:r>
            <w:r w:rsidRPr="00C6008F">
              <w:rPr>
                <w:rFonts w:cstheme="minorHAnsi"/>
                <w:lang w:val="en-GB"/>
              </w:rPr>
              <w:t>accuracy and precision.</w:t>
            </w:r>
            <w:r w:rsidR="008C0F37" w:rsidRPr="0022392F">
              <w:rPr>
                <w:rFonts w:cstheme="minorHAnsi"/>
                <w:lang w:val="en-GB"/>
              </w:rPr>
              <w:t xml:space="preserve"> </w:t>
            </w:r>
          </w:p>
        </w:tc>
        <w:tc>
          <w:tcPr>
            <w:tcW w:w="3113" w:type="dxa"/>
          </w:tcPr>
          <w:p w14:paraId="53276D3C" w14:textId="77777777" w:rsidR="008C0F37" w:rsidRPr="0022392F" w:rsidRDefault="008C0F37" w:rsidP="008C1F23">
            <w:pPr>
              <w:jc w:val="both"/>
              <w:rPr>
                <w:rFonts w:cstheme="minorHAnsi"/>
                <w:lang w:val="en-GB"/>
              </w:rPr>
            </w:pPr>
          </w:p>
        </w:tc>
      </w:tr>
      <w:tr w:rsidR="001856AA" w:rsidRPr="00D57BC0" w14:paraId="4FFD7824" w14:textId="77777777" w:rsidTr="00F72C47">
        <w:trPr>
          <w:trHeight w:val="570"/>
        </w:trPr>
        <w:tc>
          <w:tcPr>
            <w:tcW w:w="2405" w:type="dxa"/>
            <w:hideMark/>
          </w:tcPr>
          <w:p w14:paraId="2AC48094" w14:textId="0900F756" w:rsidR="001856AA" w:rsidRPr="0022392F" w:rsidRDefault="001856AA" w:rsidP="008C1F23">
            <w:pPr>
              <w:jc w:val="both"/>
              <w:rPr>
                <w:rFonts w:cstheme="minorHAnsi"/>
                <w:lang w:val="en-GB"/>
              </w:rPr>
            </w:pPr>
            <w:r w:rsidRPr="0022392F">
              <w:rPr>
                <w:rFonts w:cstheme="minorHAnsi"/>
                <w:lang w:val="en-GB"/>
              </w:rPr>
              <w:t>Me</w:t>
            </w:r>
            <w:r w:rsidR="00C6008F">
              <w:rPr>
                <w:rFonts w:cstheme="minorHAnsi"/>
                <w:lang w:val="en-GB"/>
              </w:rPr>
              <w:t>asuring range</w:t>
            </w:r>
          </w:p>
        </w:tc>
        <w:tc>
          <w:tcPr>
            <w:tcW w:w="3544" w:type="dxa"/>
            <w:hideMark/>
          </w:tcPr>
          <w:p w14:paraId="4F85709A" w14:textId="20758F26" w:rsidR="001856AA" w:rsidRPr="0022392F" w:rsidRDefault="00C6008F" w:rsidP="008C1F23">
            <w:pPr>
              <w:jc w:val="both"/>
              <w:rPr>
                <w:rFonts w:cstheme="minorHAnsi"/>
                <w:lang w:val="en-GB"/>
              </w:rPr>
            </w:pPr>
            <w:r>
              <w:rPr>
                <w:rFonts w:cstheme="minorHAnsi"/>
                <w:lang w:val="en-GB"/>
              </w:rPr>
              <w:t xml:space="preserve">Is defined by the LOQ and the linearity </w:t>
            </w:r>
          </w:p>
        </w:tc>
        <w:tc>
          <w:tcPr>
            <w:tcW w:w="3113" w:type="dxa"/>
            <w:hideMark/>
          </w:tcPr>
          <w:p w14:paraId="4D3D9EAF" w14:textId="77777777" w:rsidR="001856AA" w:rsidRPr="0022392F" w:rsidRDefault="001856AA" w:rsidP="008C1F23">
            <w:pPr>
              <w:jc w:val="both"/>
              <w:rPr>
                <w:rFonts w:cstheme="minorHAnsi"/>
                <w:lang w:val="en-GB"/>
              </w:rPr>
            </w:pPr>
          </w:p>
        </w:tc>
      </w:tr>
      <w:tr w:rsidR="001856AA" w:rsidRPr="00D57BC0" w14:paraId="4BAFC6F7" w14:textId="77777777" w:rsidTr="00F72C47">
        <w:trPr>
          <w:trHeight w:val="590"/>
        </w:trPr>
        <w:tc>
          <w:tcPr>
            <w:tcW w:w="2405" w:type="dxa"/>
            <w:hideMark/>
          </w:tcPr>
          <w:p w14:paraId="49F6CB61" w14:textId="0F49627A" w:rsidR="001856AA" w:rsidRPr="0022392F" w:rsidRDefault="001856AA" w:rsidP="008C1F23">
            <w:pPr>
              <w:jc w:val="both"/>
              <w:rPr>
                <w:rFonts w:cstheme="minorHAnsi"/>
                <w:lang w:val="en-GB"/>
              </w:rPr>
            </w:pPr>
            <w:r w:rsidRPr="0022392F">
              <w:rPr>
                <w:rFonts w:cstheme="minorHAnsi"/>
                <w:lang w:val="en-GB"/>
              </w:rPr>
              <w:lastRenderedPageBreak/>
              <w:t>Linearit</w:t>
            </w:r>
            <w:r w:rsidR="00C6008F">
              <w:rPr>
                <w:rFonts w:cstheme="minorHAnsi"/>
                <w:lang w:val="en-GB"/>
              </w:rPr>
              <w:t>y</w:t>
            </w:r>
          </w:p>
        </w:tc>
        <w:tc>
          <w:tcPr>
            <w:tcW w:w="3544" w:type="dxa"/>
            <w:hideMark/>
          </w:tcPr>
          <w:p w14:paraId="1BE51AF6" w14:textId="2005358D" w:rsidR="001856AA" w:rsidRPr="0022392F" w:rsidRDefault="00C6008F" w:rsidP="008C1F23">
            <w:pPr>
              <w:jc w:val="both"/>
              <w:rPr>
                <w:rFonts w:cstheme="minorHAnsi"/>
                <w:lang w:val="en-GB"/>
              </w:rPr>
            </w:pPr>
            <w:r w:rsidRPr="00C6008F">
              <w:rPr>
                <w:rFonts w:cstheme="minorHAnsi"/>
                <w:lang w:val="en-GB"/>
              </w:rPr>
              <w:t xml:space="preserve">Represents the proportional relationship between concentration and measurement signal. </w:t>
            </w:r>
          </w:p>
        </w:tc>
        <w:tc>
          <w:tcPr>
            <w:tcW w:w="3113" w:type="dxa"/>
            <w:hideMark/>
          </w:tcPr>
          <w:p w14:paraId="3F481739" w14:textId="03397E53" w:rsidR="001856AA" w:rsidRPr="0022392F" w:rsidRDefault="00C6008F" w:rsidP="008C1F23">
            <w:pPr>
              <w:jc w:val="both"/>
              <w:rPr>
                <w:rFonts w:cstheme="minorHAnsi"/>
                <w:lang w:val="en-GB"/>
              </w:rPr>
            </w:pPr>
            <w:r>
              <w:rPr>
                <w:rFonts w:cstheme="minorHAnsi"/>
                <w:lang w:val="en-GB"/>
              </w:rPr>
              <w:t>Important for quantitative methods, since this, together with the LOQ, indicates a method’s measuring range.</w:t>
            </w:r>
            <w:r w:rsidR="008E3088" w:rsidRPr="0022392F">
              <w:rPr>
                <w:rFonts w:cstheme="minorHAnsi"/>
                <w:lang w:val="en-GB"/>
              </w:rPr>
              <w:t xml:space="preserve"> </w:t>
            </w:r>
          </w:p>
        </w:tc>
      </w:tr>
      <w:tr w:rsidR="001856AA" w:rsidRPr="00D57BC0" w14:paraId="08944D87" w14:textId="77777777" w:rsidTr="00F72C47">
        <w:trPr>
          <w:trHeight w:val="290"/>
        </w:trPr>
        <w:tc>
          <w:tcPr>
            <w:tcW w:w="2405" w:type="dxa"/>
            <w:hideMark/>
          </w:tcPr>
          <w:p w14:paraId="3170C2BB" w14:textId="4FAFE32F" w:rsidR="001856AA" w:rsidRPr="0022392F" w:rsidRDefault="001856AA" w:rsidP="008C1F23">
            <w:pPr>
              <w:jc w:val="both"/>
              <w:rPr>
                <w:rFonts w:cstheme="minorHAnsi"/>
                <w:lang w:val="en-GB"/>
              </w:rPr>
            </w:pPr>
            <w:r w:rsidRPr="0022392F">
              <w:rPr>
                <w:rFonts w:cstheme="minorHAnsi"/>
                <w:lang w:val="en-GB"/>
              </w:rPr>
              <w:t>Cut</w:t>
            </w:r>
            <w:r w:rsidR="00C6008F">
              <w:rPr>
                <w:rFonts w:cstheme="minorHAnsi"/>
                <w:lang w:val="en-GB"/>
              </w:rPr>
              <w:t xml:space="preserve"> </w:t>
            </w:r>
            <w:r w:rsidRPr="0022392F">
              <w:rPr>
                <w:rFonts w:cstheme="minorHAnsi"/>
                <w:lang w:val="en-GB"/>
              </w:rPr>
              <w:t>off</w:t>
            </w:r>
          </w:p>
        </w:tc>
        <w:tc>
          <w:tcPr>
            <w:tcW w:w="3544" w:type="dxa"/>
            <w:hideMark/>
          </w:tcPr>
          <w:p w14:paraId="4DEB40F9" w14:textId="20AC6A9B" w:rsidR="001856AA" w:rsidRPr="0022392F" w:rsidRDefault="00C73135" w:rsidP="004A4D0C">
            <w:pPr>
              <w:jc w:val="both"/>
              <w:rPr>
                <w:rFonts w:cstheme="minorHAnsi"/>
                <w:lang w:val="en-GB"/>
              </w:rPr>
            </w:pPr>
            <w:r w:rsidRPr="00C73135">
              <w:rPr>
                <w:lang w:val="en-GB"/>
              </w:rPr>
              <w:t>The cut-off value divides the range of measured values into test positives and test negatives.</w:t>
            </w:r>
            <w:r>
              <w:rPr>
                <w:lang w:val="en-GB"/>
              </w:rPr>
              <w:t xml:space="preserve"> </w:t>
            </w:r>
          </w:p>
        </w:tc>
        <w:tc>
          <w:tcPr>
            <w:tcW w:w="3113" w:type="dxa"/>
            <w:hideMark/>
          </w:tcPr>
          <w:p w14:paraId="55285D68" w14:textId="58E35C62" w:rsidR="001856AA" w:rsidRPr="0022392F" w:rsidRDefault="00C73135" w:rsidP="008C1F23">
            <w:pPr>
              <w:jc w:val="both"/>
              <w:rPr>
                <w:rFonts w:cstheme="minorHAnsi"/>
                <w:lang w:val="en-GB"/>
              </w:rPr>
            </w:pPr>
            <w:r>
              <w:rPr>
                <w:rFonts w:cstheme="minorHAnsi"/>
                <w:lang w:val="en-GB"/>
              </w:rPr>
              <w:t>For example: a</w:t>
            </w:r>
            <w:r w:rsidRPr="00C73135">
              <w:rPr>
                <w:rFonts w:cstheme="minorHAnsi"/>
                <w:lang w:val="en-GB"/>
              </w:rPr>
              <w:t xml:space="preserve"> 95% positive cut</w:t>
            </w:r>
            <w:r>
              <w:rPr>
                <w:rFonts w:cstheme="minorHAnsi"/>
                <w:lang w:val="en-GB"/>
              </w:rPr>
              <w:t>-</w:t>
            </w:r>
            <w:r w:rsidRPr="00C73135">
              <w:rPr>
                <w:rFonts w:cstheme="minorHAnsi"/>
                <w:lang w:val="en-GB"/>
              </w:rPr>
              <w:t>off value</w:t>
            </w:r>
            <w:r>
              <w:rPr>
                <w:rFonts w:cstheme="minorHAnsi"/>
                <w:lang w:val="en-GB"/>
              </w:rPr>
              <w:t xml:space="preserve"> is</w:t>
            </w:r>
            <w:r w:rsidRPr="00C73135">
              <w:rPr>
                <w:rFonts w:cstheme="minorHAnsi"/>
                <w:lang w:val="en-GB"/>
              </w:rPr>
              <w:t xml:space="preserve"> the value at which 95% of the true positives are detected as positive. </w:t>
            </w:r>
          </w:p>
        </w:tc>
      </w:tr>
      <w:tr w:rsidR="00746D10" w:rsidRPr="00D57BC0" w14:paraId="56AFF215" w14:textId="77777777" w:rsidTr="00F72C47">
        <w:trPr>
          <w:trHeight w:val="557"/>
        </w:trPr>
        <w:tc>
          <w:tcPr>
            <w:tcW w:w="2405" w:type="dxa"/>
            <w:hideMark/>
          </w:tcPr>
          <w:p w14:paraId="41BD3AF4" w14:textId="084677A4" w:rsidR="00746D10" w:rsidRPr="0022392F" w:rsidRDefault="00C73135" w:rsidP="008C1F23">
            <w:pPr>
              <w:jc w:val="both"/>
              <w:rPr>
                <w:rFonts w:cstheme="minorHAnsi"/>
                <w:b/>
                <w:bCs/>
                <w:u w:val="single"/>
                <w:lang w:val="en-GB"/>
              </w:rPr>
            </w:pPr>
            <w:r>
              <w:rPr>
                <w:rFonts w:cstheme="minorHAnsi"/>
                <w:b/>
                <w:bCs/>
                <w:u w:val="single"/>
                <w:lang w:val="en-GB"/>
              </w:rPr>
              <w:t xml:space="preserve">Clinical performance </w:t>
            </w:r>
          </w:p>
        </w:tc>
        <w:tc>
          <w:tcPr>
            <w:tcW w:w="3544" w:type="dxa"/>
            <w:hideMark/>
          </w:tcPr>
          <w:p w14:paraId="138B71C5" w14:textId="0016826C" w:rsidR="00746D10" w:rsidRPr="0022392F" w:rsidRDefault="00C73135" w:rsidP="008C1F23">
            <w:pPr>
              <w:jc w:val="both"/>
              <w:rPr>
                <w:rFonts w:cstheme="minorHAnsi"/>
                <w:lang w:val="en-GB"/>
              </w:rPr>
            </w:pPr>
            <w:r w:rsidRPr="00C73135">
              <w:rPr>
                <w:rFonts w:cstheme="minorHAnsi"/>
                <w:lang w:val="en-GB"/>
              </w:rPr>
              <w:t xml:space="preserve">Ability of a device to provide results that correlate with a specific clinical condition or physiological or pathological process or state in a specific target population and </w:t>
            </w:r>
            <w:r>
              <w:rPr>
                <w:rFonts w:cstheme="minorHAnsi"/>
                <w:lang w:val="en-GB"/>
              </w:rPr>
              <w:t xml:space="preserve">in </w:t>
            </w:r>
            <w:r w:rsidRPr="00C73135">
              <w:rPr>
                <w:rFonts w:cstheme="minorHAnsi"/>
                <w:lang w:val="en-GB"/>
              </w:rPr>
              <w:t>specific intended users;</w:t>
            </w:r>
            <w:r>
              <w:rPr>
                <w:rFonts w:cstheme="minorHAnsi"/>
                <w:lang w:val="en-GB"/>
              </w:rPr>
              <w:t xml:space="preserve"> </w:t>
            </w:r>
          </w:p>
        </w:tc>
        <w:tc>
          <w:tcPr>
            <w:tcW w:w="3113" w:type="dxa"/>
            <w:hideMark/>
          </w:tcPr>
          <w:p w14:paraId="67983ED9" w14:textId="634392EA" w:rsidR="00746D10" w:rsidRPr="0022392F" w:rsidRDefault="00746D10" w:rsidP="008C1F23">
            <w:pPr>
              <w:jc w:val="both"/>
              <w:rPr>
                <w:rFonts w:cstheme="minorHAnsi"/>
                <w:lang w:val="en-GB"/>
              </w:rPr>
            </w:pPr>
          </w:p>
        </w:tc>
      </w:tr>
      <w:tr w:rsidR="00746D10" w:rsidRPr="00D57BC0" w14:paraId="58E5CA2B" w14:textId="77777777" w:rsidTr="00F72C47">
        <w:trPr>
          <w:trHeight w:val="552"/>
        </w:trPr>
        <w:tc>
          <w:tcPr>
            <w:tcW w:w="2405" w:type="dxa"/>
            <w:hideMark/>
          </w:tcPr>
          <w:p w14:paraId="36E6F502" w14:textId="67B7D6DA" w:rsidR="00746D10" w:rsidRPr="0022392F" w:rsidRDefault="00C73135" w:rsidP="008C1F23">
            <w:pPr>
              <w:jc w:val="both"/>
              <w:rPr>
                <w:rFonts w:cstheme="minorHAnsi"/>
                <w:lang w:val="en-GB"/>
              </w:rPr>
            </w:pPr>
            <w:r>
              <w:rPr>
                <w:rFonts w:cstheme="minorHAnsi"/>
                <w:lang w:val="en-GB"/>
              </w:rPr>
              <w:t xml:space="preserve">Diagnostic sensitivity </w:t>
            </w:r>
          </w:p>
        </w:tc>
        <w:tc>
          <w:tcPr>
            <w:tcW w:w="3544" w:type="dxa"/>
            <w:hideMark/>
          </w:tcPr>
          <w:p w14:paraId="515B3BAC" w14:textId="2704AD56" w:rsidR="00746D10" w:rsidRPr="0022392F" w:rsidRDefault="00C73135" w:rsidP="008C0F37">
            <w:pPr>
              <w:jc w:val="both"/>
              <w:rPr>
                <w:rFonts w:cstheme="minorHAnsi"/>
                <w:lang w:val="en-GB"/>
              </w:rPr>
            </w:pPr>
            <w:r w:rsidRPr="00C73135">
              <w:rPr>
                <w:rFonts w:cstheme="minorHAnsi"/>
                <w:lang w:val="en-GB"/>
              </w:rPr>
              <w:t xml:space="preserve">The sensitivity of a diagnostic test is </w:t>
            </w:r>
            <w:r>
              <w:rPr>
                <w:rFonts w:cstheme="minorHAnsi"/>
                <w:lang w:val="en-GB"/>
              </w:rPr>
              <w:t>its</w:t>
            </w:r>
            <w:r w:rsidRPr="00C73135">
              <w:rPr>
                <w:rFonts w:cstheme="minorHAnsi"/>
                <w:lang w:val="en-GB"/>
              </w:rPr>
              <w:t xml:space="preserve"> ability to detect certain characteristics (e.g.</w:t>
            </w:r>
            <w:r w:rsidR="002627E8">
              <w:rPr>
                <w:rFonts w:cstheme="minorHAnsi"/>
                <w:lang w:val="en-GB"/>
              </w:rPr>
              <w:t>,</w:t>
            </w:r>
            <w:r w:rsidRPr="00C73135">
              <w:rPr>
                <w:rFonts w:cstheme="minorHAnsi"/>
                <w:lang w:val="en-GB"/>
              </w:rPr>
              <w:t xml:space="preserve"> disease). Sensitivity is defined by the quotient:</w:t>
            </w:r>
            <w:r>
              <w:rPr>
                <w:rFonts w:cstheme="minorHAnsi"/>
                <w:lang w:val="en-GB"/>
              </w:rPr>
              <w:t xml:space="preserve"> </w:t>
            </w:r>
          </w:p>
          <w:p w14:paraId="340D03A3" w14:textId="77777777" w:rsidR="00746D10" w:rsidRPr="0022392F" w:rsidRDefault="00746D10" w:rsidP="008C0F37">
            <w:pPr>
              <w:jc w:val="both"/>
              <w:rPr>
                <w:rFonts w:cstheme="minorHAnsi"/>
                <w:lang w:val="en-GB"/>
              </w:rPr>
            </w:pPr>
          </w:p>
          <w:p w14:paraId="55521E59" w14:textId="67052134" w:rsidR="00746D10" w:rsidRPr="0022392F" w:rsidRDefault="00746D10" w:rsidP="008C0F37">
            <w:pPr>
              <w:jc w:val="both"/>
              <w:rPr>
                <w:rFonts w:cstheme="minorHAnsi"/>
                <w:lang w:val="en-GB"/>
              </w:rPr>
            </w:pPr>
            <w:r w:rsidRPr="0022392F">
              <w:rPr>
                <w:rFonts w:cstheme="minorHAnsi"/>
                <w:lang w:val="en-GB"/>
              </w:rPr>
              <w:t>Sensitivit</w:t>
            </w:r>
            <w:r w:rsidR="00C73135">
              <w:rPr>
                <w:rFonts w:cstheme="minorHAnsi"/>
                <w:lang w:val="en-GB"/>
              </w:rPr>
              <w:t>y</w:t>
            </w:r>
            <w:r w:rsidRPr="0022392F">
              <w:rPr>
                <w:rFonts w:cstheme="minorHAnsi"/>
                <w:lang w:val="en-GB"/>
              </w:rPr>
              <w:t xml:space="preserve"> = (</w:t>
            </w:r>
            <w:r w:rsidR="00C73135">
              <w:rPr>
                <w:rFonts w:cstheme="minorHAnsi"/>
                <w:lang w:val="en-GB"/>
              </w:rPr>
              <w:t>true positive</w:t>
            </w:r>
            <w:r w:rsidRPr="0022392F">
              <w:rPr>
                <w:rFonts w:cstheme="minorHAnsi"/>
                <w:lang w:val="en-GB"/>
              </w:rPr>
              <w:t>) / (</w:t>
            </w:r>
            <w:r w:rsidR="00C73135">
              <w:rPr>
                <w:rFonts w:cstheme="minorHAnsi"/>
                <w:lang w:val="en-GB"/>
              </w:rPr>
              <w:t>total number of patients</w:t>
            </w:r>
            <w:r w:rsidRPr="0022392F">
              <w:rPr>
                <w:rFonts w:cstheme="minorHAnsi"/>
                <w:lang w:val="en-GB"/>
              </w:rPr>
              <w:t>)</w:t>
            </w:r>
          </w:p>
        </w:tc>
        <w:tc>
          <w:tcPr>
            <w:tcW w:w="3113" w:type="dxa"/>
          </w:tcPr>
          <w:p w14:paraId="4A632741" w14:textId="51A6BAB5" w:rsidR="00746D10" w:rsidRPr="0022392F" w:rsidRDefault="00746D10" w:rsidP="008C1F23">
            <w:pPr>
              <w:jc w:val="both"/>
              <w:rPr>
                <w:rFonts w:cstheme="minorHAnsi"/>
                <w:lang w:val="en-GB"/>
              </w:rPr>
            </w:pPr>
          </w:p>
        </w:tc>
      </w:tr>
      <w:tr w:rsidR="00746D10" w:rsidRPr="00D57BC0" w14:paraId="385B7969" w14:textId="77777777" w:rsidTr="00F72C47">
        <w:trPr>
          <w:trHeight w:val="1160"/>
        </w:trPr>
        <w:tc>
          <w:tcPr>
            <w:tcW w:w="2405" w:type="dxa"/>
            <w:hideMark/>
          </w:tcPr>
          <w:p w14:paraId="0289C07F" w14:textId="1BACD552" w:rsidR="00746D10" w:rsidRPr="0022392F" w:rsidRDefault="00C73135" w:rsidP="00746D10">
            <w:pPr>
              <w:jc w:val="both"/>
              <w:rPr>
                <w:rFonts w:cstheme="minorHAnsi"/>
                <w:lang w:val="en-GB"/>
              </w:rPr>
            </w:pPr>
            <w:r>
              <w:rPr>
                <w:rFonts w:cstheme="minorHAnsi"/>
                <w:lang w:val="en-GB"/>
              </w:rPr>
              <w:t xml:space="preserve">Diagnostic specificity </w:t>
            </w:r>
          </w:p>
        </w:tc>
        <w:tc>
          <w:tcPr>
            <w:tcW w:w="3544" w:type="dxa"/>
            <w:hideMark/>
          </w:tcPr>
          <w:p w14:paraId="7FDA69E2" w14:textId="797A95EE" w:rsidR="00746D10" w:rsidRPr="0022392F" w:rsidRDefault="00C73135" w:rsidP="00746D10">
            <w:pPr>
              <w:jc w:val="both"/>
              <w:rPr>
                <w:rFonts w:cstheme="minorHAnsi"/>
                <w:lang w:val="en-GB"/>
              </w:rPr>
            </w:pPr>
            <w:r w:rsidRPr="00C73135">
              <w:rPr>
                <w:rFonts w:cstheme="minorHAnsi"/>
                <w:lang w:val="en-GB"/>
              </w:rPr>
              <w:t xml:space="preserve">The specificity of a diagnostic test is </w:t>
            </w:r>
            <w:r>
              <w:rPr>
                <w:rFonts w:cstheme="minorHAnsi"/>
                <w:lang w:val="en-GB"/>
              </w:rPr>
              <w:t>its</w:t>
            </w:r>
            <w:r w:rsidRPr="00C73135">
              <w:rPr>
                <w:rFonts w:cstheme="minorHAnsi"/>
                <w:lang w:val="en-GB"/>
              </w:rPr>
              <w:t xml:space="preserve"> ability to identify persons </w:t>
            </w:r>
            <w:r>
              <w:rPr>
                <w:rFonts w:cstheme="minorHAnsi"/>
                <w:lang w:val="en-GB"/>
              </w:rPr>
              <w:t>lacking certain</w:t>
            </w:r>
            <w:r w:rsidRPr="00C73135">
              <w:rPr>
                <w:rFonts w:cstheme="minorHAnsi"/>
                <w:lang w:val="en-GB"/>
              </w:rPr>
              <w:t xml:space="preserve"> characteristics (e.g.</w:t>
            </w:r>
            <w:r w:rsidR="002627E8">
              <w:rPr>
                <w:rFonts w:cstheme="minorHAnsi"/>
                <w:lang w:val="en-GB"/>
              </w:rPr>
              <w:t>,</w:t>
            </w:r>
            <w:r w:rsidRPr="00C73135">
              <w:rPr>
                <w:rFonts w:cstheme="minorHAnsi"/>
                <w:lang w:val="en-GB"/>
              </w:rPr>
              <w:t xml:space="preserve"> disease) as non-</w:t>
            </w:r>
            <w:r>
              <w:rPr>
                <w:rFonts w:cstheme="minorHAnsi"/>
                <w:lang w:val="en-GB"/>
              </w:rPr>
              <w:t>patients</w:t>
            </w:r>
            <w:r w:rsidRPr="00C73135">
              <w:rPr>
                <w:rFonts w:cstheme="minorHAnsi"/>
                <w:lang w:val="en-GB"/>
              </w:rPr>
              <w:t>. Specificity is defined by the quotient:</w:t>
            </w:r>
            <w:r>
              <w:rPr>
                <w:rFonts w:cstheme="minorHAnsi"/>
                <w:lang w:val="en-GB"/>
              </w:rPr>
              <w:t xml:space="preserve"> </w:t>
            </w:r>
          </w:p>
          <w:p w14:paraId="791CF1D8" w14:textId="77777777" w:rsidR="00746D10" w:rsidRPr="0022392F" w:rsidRDefault="00746D10" w:rsidP="00746D10">
            <w:pPr>
              <w:jc w:val="both"/>
              <w:rPr>
                <w:rFonts w:cstheme="minorHAnsi"/>
                <w:lang w:val="en-GB"/>
              </w:rPr>
            </w:pPr>
          </w:p>
          <w:p w14:paraId="79AA78B0" w14:textId="5948175E" w:rsidR="00746D10" w:rsidRPr="0022392F" w:rsidRDefault="00746D10" w:rsidP="00746D10">
            <w:pPr>
              <w:jc w:val="both"/>
              <w:rPr>
                <w:rFonts w:cstheme="minorHAnsi"/>
                <w:lang w:val="en-GB"/>
              </w:rPr>
            </w:pPr>
            <w:r w:rsidRPr="0022392F">
              <w:rPr>
                <w:rFonts w:cstheme="minorHAnsi"/>
                <w:lang w:val="en-GB"/>
              </w:rPr>
              <w:t>Spe</w:t>
            </w:r>
            <w:r w:rsidR="003345EB">
              <w:rPr>
                <w:rFonts w:cstheme="minorHAnsi"/>
                <w:lang w:val="en-GB"/>
              </w:rPr>
              <w:t>cificity</w:t>
            </w:r>
            <w:r w:rsidRPr="0022392F">
              <w:rPr>
                <w:rFonts w:cstheme="minorHAnsi"/>
                <w:lang w:val="en-GB"/>
              </w:rPr>
              <w:t xml:space="preserve"> = (</w:t>
            </w:r>
            <w:r w:rsidR="003345EB">
              <w:rPr>
                <w:rFonts w:cstheme="minorHAnsi"/>
                <w:lang w:val="en-GB"/>
              </w:rPr>
              <w:t>true negative</w:t>
            </w:r>
            <w:r w:rsidRPr="0022392F">
              <w:rPr>
                <w:rFonts w:cstheme="minorHAnsi"/>
                <w:lang w:val="en-GB"/>
              </w:rPr>
              <w:t>) / (</w:t>
            </w:r>
            <w:r w:rsidR="003345EB">
              <w:rPr>
                <w:rFonts w:cstheme="minorHAnsi"/>
                <w:lang w:val="en-GB"/>
              </w:rPr>
              <w:t>total number of non-patients</w:t>
            </w:r>
            <w:r w:rsidRPr="0022392F">
              <w:rPr>
                <w:rFonts w:cstheme="minorHAnsi"/>
                <w:lang w:val="en-GB"/>
              </w:rPr>
              <w:t>)</w:t>
            </w:r>
          </w:p>
        </w:tc>
        <w:tc>
          <w:tcPr>
            <w:tcW w:w="3113" w:type="dxa"/>
          </w:tcPr>
          <w:p w14:paraId="1BE4ECC1" w14:textId="04559AE2" w:rsidR="00746D10" w:rsidRPr="0022392F" w:rsidRDefault="00746D10" w:rsidP="00746D10">
            <w:pPr>
              <w:jc w:val="both"/>
              <w:rPr>
                <w:rFonts w:cstheme="minorHAnsi"/>
                <w:lang w:val="en-GB"/>
              </w:rPr>
            </w:pPr>
          </w:p>
        </w:tc>
      </w:tr>
      <w:tr w:rsidR="00746D10" w:rsidRPr="00D57BC0" w14:paraId="1932AAD7" w14:textId="77777777" w:rsidTr="00F72C47">
        <w:trPr>
          <w:trHeight w:val="1160"/>
        </w:trPr>
        <w:tc>
          <w:tcPr>
            <w:tcW w:w="2405" w:type="dxa"/>
            <w:hideMark/>
          </w:tcPr>
          <w:p w14:paraId="284D8E0F" w14:textId="6EA332A1" w:rsidR="00746D10" w:rsidRPr="0022392F" w:rsidRDefault="003345EB" w:rsidP="00746D10">
            <w:pPr>
              <w:jc w:val="both"/>
              <w:rPr>
                <w:rFonts w:cstheme="minorHAnsi"/>
                <w:lang w:val="en-GB"/>
              </w:rPr>
            </w:pPr>
            <w:r>
              <w:rPr>
                <w:rFonts w:cstheme="minorHAnsi"/>
                <w:lang w:val="en-GB"/>
              </w:rPr>
              <w:t>Positive predictive value</w:t>
            </w:r>
          </w:p>
        </w:tc>
        <w:tc>
          <w:tcPr>
            <w:tcW w:w="3544" w:type="dxa"/>
            <w:hideMark/>
          </w:tcPr>
          <w:p w14:paraId="424F91EB" w14:textId="0C8B4B02" w:rsidR="00746D10" w:rsidRPr="0022392F" w:rsidRDefault="003345EB" w:rsidP="00746D10">
            <w:pPr>
              <w:jc w:val="both"/>
              <w:rPr>
                <w:rFonts w:cstheme="minorHAnsi"/>
                <w:lang w:val="en-GB"/>
              </w:rPr>
            </w:pPr>
            <w:r>
              <w:rPr>
                <w:rFonts w:cstheme="minorHAnsi"/>
                <w:lang w:val="en-GB"/>
              </w:rPr>
              <w:t>A device’s</w:t>
            </w:r>
            <w:r w:rsidRPr="003345EB">
              <w:rPr>
                <w:rFonts w:cstheme="minorHAnsi"/>
                <w:lang w:val="en-GB"/>
              </w:rPr>
              <w:t xml:space="preserve"> ability to separate true positives from false positives for a given attribute in a given population;</w:t>
            </w:r>
            <w:r>
              <w:rPr>
                <w:rFonts w:cstheme="minorHAnsi"/>
                <w:lang w:val="en-GB"/>
              </w:rPr>
              <w:t xml:space="preserve"> </w:t>
            </w:r>
          </w:p>
        </w:tc>
        <w:tc>
          <w:tcPr>
            <w:tcW w:w="3113" w:type="dxa"/>
            <w:hideMark/>
          </w:tcPr>
          <w:p w14:paraId="019DAE41" w14:textId="6CE2208D" w:rsidR="00746D10" w:rsidRPr="0022392F" w:rsidRDefault="003345EB" w:rsidP="00746D10">
            <w:pPr>
              <w:jc w:val="both"/>
              <w:rPr>
                <w:rFonts w:cstheme="minorHAnsi"/>
                <w:lang w:val="en-GB"/>
              </w:rPr>
            </w:pPr>
            <w:r w:rsidRPr="003345EB">
              <w:rPr>
                <w:rFonts w:cstheme="minorHAnsi"/>
                <w:lang w:val="en-GB"/>
              </w:rPr>
              <w:t>The predictive value is not only influenced by the sensitivity and specificity of a diagnostic test, but crucially also by the prevalence of the disease in the tested population.</w:t>
            </w:r>
            <w:r>
              <w:rPr>
                <w:rFonts w:cstheme="minorHAnsi"/>
                <w:lang w:val="en-GB"/>
              </w:rPr>
              <w:t xml:space="preserve"> </w:t>
            </w:r>
          </w:p>
        </w:tc>
      </w:tr>
      <w:tr w:rsidR="00746D10" w:rsidRPr="00D57BC0" w14:paraId="14ECF814" w14:textId="77777777" w:rsidTr="00F72C47">
        <w:trPr>
          <w:trHeight w:val="1160"/>
        </w:trPr>
        <w:tc>
          <w:tcPr>
            <w:tcW w:w="2405" w:type="dxa"/>
            <w:hideMark/>
          </w:tcPr>
          <w:p w14:paraId="47D0A890" w14:textId="3D6C3DE6" w:rsidR="00746D10" w:rsidRPr="0022392F" w:rsidRDefault="003345EB" w:rsidP="00746D10">
            <w:pPr>
              <w:jc w:val="both"/>
              <w:rPr>
                <w:rFonts w:cstheme="minorHAnsi"/>
                <w:lang w:val="en-GB"/>
              </w:rPr>
            </w:pPr>
            <w:r>
              <w:rPr>
                <w:rFonts w:cstheme="minorHAnsi"/>
                <w:lang w:val="en-GB"/>
              </w:rPr>
              <w:t>N</w:t>
            </w:r>
            <w:r w:rsidR="00746D10" w:rsidRPr="0022392F">
              <w:rPr>
                <w:rFonts w:cstheme="minorHAnsi"/>
                <w:lang w:val="en-GB"/>
              </w:rPr>
              <w:t xml:space="preserve">egative </w:t>
            </w:r>
            <w:r>
              <w:rPr>
                <w:rFonts w:cstheme="minorHAnsi"/>
                <w:lang w:val="en-GB"/>
              </w:rPr>
              <w:t>predictive value</w:t>
            </w:r>
          </w:p>
        </w:tc>
        <w:tc>
          <w:tcPr>
            <w:tcW w:w="3544" w:type="dxa"/>
            <w:hideMark/>
          </w:tcPr>
          <w:p w14:paraId="2ADF72F8" w14:textId="502FCB2D" w:rsidR="00746D10" w:rsidRPr="0022392F" w:rsidRDefault="003345EB" w:rsidP="00746D10">
            <w:pPr>
              <w:jc w:val="both"/>
              <w:rPr>
                <w:rFonts w:cstheme="minorHAnsi"/>
                <w:lang w:val="en-GB"/>
              </w:rPr>
            </w:pPr>
            <w:r>
              <w:rPr>
                <w:rFonts w:cstheme="minorHAnsi"/>
                <w:lang w:val="en-GB"/>
              </w:rPr>
              <w:t>A device’s ability to separate true negatives from false negatives for a given attribute in a given population</w:t>
            </w:r>
            <w:r w:rsidR="00746D10" w:rsidRPr="0022392F">
              <w:rPr>
                <w:rFonts w:cstheme="minorHAnsi"/>
                <w:lang w:val="en-GB"/>
              </w:rPr>
              <w:t>;</w:t>
            </w:r>
          </w:p>
        </w:tc>
        <w:tc>
          <w:tcPr>
            <w:tcW w:w="3113" w:type="dxa"/>
            <w:hideMark/>
          </w:tcPr>
          <w:p w14:paraId="594A5D5F" w14:textId="051312F0" w:rsidR="00746D10" w:rsidRPr="0022392F" w:rsidRDefault="003345EB" w:rsidP="00746D10">
            <w:pPr>
              <w:jc w:val="both"/>
              <w:rPr>
                <w:rFonts w:cstheme="minorHAnsi"/>
                <w:lang w:val="en-GB"/>
              </w:rPr>
            </w:pPr>
            <w:r w:rsidRPr="003345EB">
              <w:rPr>
                <w:rFonts w:cstheme="minorHAnsi"/>
                <w:lang w:val="en-GB"/>
              </w:rPr>
              <w:t>The predictive value is not only influenced by the sensitivity and specificity of a diagnostic test, but crucially also by the prevalence of the disease in the tested population.</w:t>
            </w:r>
            <w:r>
              <w:rPr>
                <w:rFonts w:cstheme="minorHAnsi"/>
                <w:lang w:val="en-GB"/>
              </w:rPr>
              <w:t xml:space="preserve"> </w:t>
            </w:r>
          </w:p>
        </w:tc>
      </w:tr>
      <w:tr w:rsidR="00746D10" w:rsidRPr="00D57BC0" w14:paraId="17297CF2" w14:textId="77777777" w:rsidTr="00F72C47">
        <w:trPr>
          <w:trHeight w:val="1740"/>
        </w:trPr>
        <w:tc>
          <w:tcPr>
            <w:tcW w:w="2405" w:type="dxa"/>
            <w:hideMark/>
          </w:tcPr>
          <w:p w14:paraId="61F5E6B0" w14:textId="48C4E062" w:rsidR="00746D10" w:rsidRPr="00100B68" w:rsidRDefault="00746D10" w:rsidP="00746D10">
            <w:pPr>
              <w:jc w:val="both"/>
              <w:rPr>
                <w:rFonts w:cstheme="minorHAnsi"/>
                <w:lang w:val="en-GB"/>
              </w:rPr>
            </w:pPr>
            <w:r w:rsidRPr="0022392F">
              <w:rPr>
                <w:rFonts w:cstheme="minorHAnsi"/>
                <w:lang w:val="en-GB"/>
              </w:rPr>
              <w:t>Likelihood</w:t>
            </w:r>
            <w:r w:rsidR="003345EB">
              <w:rPr>
                <w:rFonts w:cstheme="minorHAnsi"/>
                <w:lang w:val="en-GB"/>
              </w:rPr>
              <w:t xml:space="preserve"> ratio</w:t>
            </w:r>
            <w:r w:rsidR="00100B68">
              <w:rPr>
                <w:rFonts w:cstheme="minorHAnsi"/>
                <w:lang w:val="en-GB"/>
              </w:rPr>
              <w:t xml:space="preserve"> and e</w:t>
            </w:r>
            <w:commentRangeStart w:id="5"/>
            <w:commentRangeStart w:id="6"/>
            <w:r w:rsidR="00100B68" w:rsidRPr="00DF35C0">
              <w:rPr>
                <w:rFonts w:cstheme="minorHAnsi"/>
                <w:lang w:val="en-GB"/>
              </w:rPr>
              <w:t>xpected values in non-affected and affected populations</w:t>
            </w:r>
            <w:r w:rsidR="00100B68" w:rsidRPr="0022392F">
              <w:rPr>
                <w:rFonts w:cstheme="minorHAnsi"/>
                <w:lang w:val="en-GB"/>
              </w:rPr>
              <w:t xml:space="preserve"> </w:t>
            </w:r>
            <w:commentRangeEnd w:id="5"/>
            <w:r w:rsidR="00100B68">
              <w:rPr>
                <w:rStyle w:val="Kommentarzeichen"/>
              </w:rPr>
              <w:commentReference w:id="5"/>
            </w:r>
            <w:commentRangeEnd w:id="6"/>
            <w:r w:rsidR="00100B68">
              <w:rPr>
                <w:rStyle w:val="Kommentarzeichen"/>
              </w:rPr>
              <w:commentReference w:id="6"/>
            </w:r>
          </w:p>
        </w:tc>
        <w:tc>
          <w:tcPr>
            <w:tcW w:w="3544" w:type="dxa"/>
            <w:hideMark/>
          </w:tcPr>
          <w:p w14:paraId="319FDC75" w14:textId="70F12421" w:rsidR="00746D10" w:rsidRPr="0022392F" w:rsidRDefault="003345EB" w:rsidP="00746D10">
            <w:pPr>
              <w:jc w:val="both"/>
              <w:rPr>
                <w:rFonts w:cstheme="minorHAnsi"/>
                <w:lang w:val="en-GB"/>
              </w:rPr>
            </w:pPr>
            <w:r>
              <w:rPr>
                <w:rFonts w:cstheme="minorHAnsi"/>
                <w:lang w:val="en-GB"/>
              </w:rPr>
              <w:t>T</w:t>
            </w:r>
            <w:r w:rsidRPr="003345EB">
              <w:rPr>
                <w:rFonts w:cstheme="minorHAnsi"/>
                <w:lang w:val="en-GB"/>
              </w:rPr>
              <w:t xml:space="preserve">he likelihood of a particular </w:t>
            </w:r>
            <w:r>
              <w:rPr>
                <w:rFonts w:cstheme="minorHAnsi"/>
                <w:lang w:val="en-GB"/>
              </w:rPr>
              <w:t>result</w:t>
            </w:r>
            <w:r w:rsidRPr="003345EB">
              <w:rPr>
                <w:rFonts w:cstheme="minorHAnsi"/>
                <w:lang w:val="en-GB"/>
              </w:rPr>
              <w:t xml:space="preserve"> occurring in a person with the clinical or physiological </w:t>
            </w:r>
            <w:r w:rsidR="00DF35C0" w:rsidRPr="003345EB">
              <w:rPr>
                <w:rFonts w:cstheme="minorHAnsi"/>
                <w:lang w:val="en-GB"/>
              </w:rPr>
              <w:t xml:space="preserve">target </w:t>
            </w:r>
            <w:r w:rsidRPr="003345EB">
              <w:rPr>
                <w:rFonts w:cstheme="minorHAnsi"/>
                <w:lang w:val="en-GB"/>
              </w:rPr>
              <w:t xml:space="preserve">condition relative to the likelihood of the same </w:t>
            </w:r>
            <w:r w:rsidR="00DF35C0">
              <w:rPr>
                <w:rFonts w:cstheme="minorHAnsi"/>
                <w:lang w:val="en-GB"/>
              </w:rPr>
              <w:t>result</w:t>
            </w:r>
            <w:r w:rsidRPr="003345EB">
              <w:rPr>
                <w:rFonts w:cstheme="minorHAnsi"/>
                <w:lang w:val="en-GB"/>
              </w:rPr>
              <w:t xml:space="preserve"> occurring in a person without that clinical or physiological condition</w:t>
            </w:r>
            <w:r w:rsidR="00A2293F">
              <w:rPr>
                <w:rFonts w:cstheme="minorHAnsi"/>
                <w:lang w:val="en-GB"/>
              </w:rPr>
              <w:t>.</w:t>
            </w:r>
          </w:p>
        </w:tc>
        <w:tc>
          <w:tcPr>
            <w:tcW w:w="3113" w:type="dxa"/>
            <w:hideMark/>
          </w:tcPr>
          <w:p w14:paraId="5CD94B45" w14:textId="77777777" w:rsidR="00746D10" w:rsidRPr="0022392F" w:rsidRDefault="00746D10" w:rsidP="00746D10">
            <w:pPr>
              <w:jc w:val="both"/>
              <w:rPr>
                <w:rFonts w:cstheme="minorHAnsi"/>
                <w:lang w:val="en-GB"/>
              </w:rPr>
            </w:pPr>
          </w:p>
        </w:tc>
      </w:tr>
      <w:tr w:rsidR="00000EB8" w:rsidRPr="00D57BC0" w14:paraId="62D2B5CC" w14:textId="77777777" w:rsidTr="00F72C47">
        <w:trPr>
          <w:trHeight w:val="1244"/>
        </w:trPr>
        <w:tc>
          <w:tcPr>
            <w:tcW w:w="2405" w:type="dxa"/>
          </w:tcPr>
          <w:p w14:paraId="1E1A1BC2" w14:textId="42288F9B" w:rsidR="00000EB8" w:rsidRPr="0022392F" w:rsidRDefault="00000EB8" w:rsidP="00746D10">
            <w:pPr>
              <w:jc w:val="both"/>
              <w:rPr>
                <w:rFonts w:cstheme="minorHAnsi"/>
                <w:lang w:val="en-GB"/>
              </w:rPr>
            </w:pPr>
          </w:p>
        </w:tc>
        <w:tc>
          <w:tcPr>
            <w:tcW w:w="3544" w:type="dxa"/>
          </w:tcPr>
          <w:p w14:paraId="6AA7B64B" w14:textId="77777777" w:rsidR="00000EB8" w:rsidRPr="0022392F" w:rsidRDefault="00000EB8" w:rsidP="00746D10">
            <w:pPr>
              <w:jc w:val="both"/>
              <w:rPr>
                <w:rFonts w:cstheme="minorHAnsi"/>
                <w:lang w:val="en-GB"/>
              </w:rPr>
            </w:pPr>
          </w:p>
        </w:tc>
        <w:tc>
          <w:tcPr>
            <w:tcW w:w="3113" w:type="dxa"/>
          </w:tcPr>
          <w:p w14:paraId="3F094CC3" w14:textId="77777777" w:rsidR="00000EB8" w:rsidRPr="0022392F" w:rsidRDefault="00000EB8" w:rsidP="00746D10">
            <w:pPr>
              <w:jc w:val="both"/>
              <w:rPr>
                <w:rFonts w:cstheme="minorHAnsi"/>
                <w:lang w:val="en-GB"/>
              </w:rPr>
            </w:pPr>
          </w:p>
        </w:tc>
      </w:tr>
      <w:bookmarkEnd w:id="4"/>
    </w:tbl>
    <w:p w14:paraId="6A186881" w14:textId="4B0940C0" w:rsidR="001856AA" w:rsidRPr="0022392F" w:rsidRDefault="001856AA" w:rsidP="001856AA">
      <w:pPr>
        <w:jc w:val="both"/>
        <w:rPr>
          <w:rFonts w:cstheme="minorHAnsi"/>
          <w:lang w:val="en-GB"/>
        </w:rPr>
      </w:pPr>
    </w:p>
    <w:p w14:paraId="2861D2DF" w14:textId="37CE4530" w:rsidR="00712F97" w:rsidRPr="0022392F" w:rsidRDefault="00DF35C0" w:rsidP="00712F97">
      <w:pPr>
        <w:jc w:val="both"/>
        <w:rPr>
          <w:lang w:val="en-GB"/>
        </w:rPr>
      </w:pPr>
      <w:r>
        <w:rPr>
          <w:lang w:val="en-GB"/>
        </w:rPr>
        <w:t xml:space="preserve">In order to </w:t>
      </w:r>
      <w:r w:rsidR="005C05CA">
        <w:rPr>
          <w:lang w:val="en-GB"/>
        </w:rPr>
        <w:t>verify</w:t>
      </w:r>
      <w:r>
        <w:rPr>
          <w:lang w:val="en-GB"/>
        </w:rPr>
        <w:t xml:space="preserve"> </w:t>
      </w:r>
      <w:r w:rsidR="00EA26E0" w:rsidRPr="00DF35C0">
        <w:rPr>
          <w:lang w:val="en-GB"/>
        </w:rPr>
        <w:t xml:space="preserve">the analytical performance </w:t>
      </w:r>
      <w:r w:rsidRPr="00DF35C0">
        <w:rPr>
          <w:lang w:val="en-GB"/>
        </w:rPr>
        <w:t>characteristics</w:t>
      </w:r>
      <w:r>
        <w:rPr>
          <w:lang w:val="en-GB"/>
        </w:rPr>
        <w:t>, c</w:t>
      </w:r>
      <w:r w:rsidRPr="00DF35C0">
        <w:rPr>
          <w:lang w:val="en-GB"/>
        </w:rPr>
        <w:t>ommercially available or other well-characterised control samples can be used which reliably enable an objective assessment and calculation of the required parameters and are backed up by</w:t>
      </w:r>
      <w:r>
        <w:rPr>
          <w:lang w:val="en-GB"/>
        </w:rPr>
        <w:t>, for example,</w:t>
      </w:r>
      <w:r w:rsidRPr="00DF35C0">
        <w:rPr>
          <w:lang w:val="en-GB"/>
        </w:rPr>
        <w:t xml:space="preserve"> external quality assurance in the form of </w:t>
      </w:r>
      <w:r w:rsidR="00CD075C">
        <w:rPr>
          <w:lang w:val="en-GB"/>
        </w:rPr>
        <w:t xml:space="preserve">an </w:t>
      </w:r>
      <w:r>
        <w:rPr>
          <w:lang w:val="en-GB"/>
        </w:rPr>
        <w:t>EQAS</w:t>
      </w:r>
      <w:r w:rsidRPr="00DF35C0">
        <w:rPr>
          <w:lang w:val="en-GB"/>
        </w:rPr>
        <w:t xml:space="preserve">. </w:t>
      </w:r>
      <w:r w:rsidR="005C05CA">
        <w:rPr>
          <w:lang w:val="en-GB"/>
        </w:rPr>
        <w:t>To verify</w:t>
      </w:r>
      <w:r w:rsidR="00CD075C" w:rsidRPr="00CD075C">
        <w:rPr>
          <w:lang w:val="en-GB"/>
        </w:rPr>
        <w:t xml:space="preserve"> the </w:t>
      </w:r>
      <w:r w:rsidR="00EA26E0" w:rsidRPr="00CD075C">
        <w:rPr>
          <w:lang w:val="en-GB"/>
        </w:rPr>
        <w:t xml:space="preserve">clinical performance </w:t>
      </w:r>
      <w:r w:rsidR="00CD075C" w:rsidRPr="00CD075C">
        <w:rPr>
          <w:lang w:val="en-GB"/>
        </w:rPr>
        <w:t xml:space="preserve">characteristics, publications may be used, </w:t>
      </w:r>
      <w:r w:rsidR="005C05CA">
        <w:rPr>
          <w:lang w:val="en-GB"/>
        </w:rPr>
        <w:t>for example</w:t>
      </w:r>
      <w:r w:rsidR="00CD075C" w:rsidRPr="00CD075C">
        <w:rPr>
          <w:lang w:val="en-GB"/>
        </w:rPr>
        <w:t xml:space="preserve">, provided that they </w:t>
      </w:r>
      <w:r w:rsidR="00CD075C">
        <w:rPr>
          <w:lang w:val="en-GB"/>
        </w:rPr>
        <w:t>can be applied</w:t>
      </w:r>
      <w:r w:rsidR="00CD075C" w:rsidRPr="00CD075C">
        <w:rPr>
          <w:lang w:val="en-GB"/>
        </w:rPr>
        <w:t xml:space="preserve"> to the IH-IVD under consideration </w:t>
      </w:r>
      <w:r w:rsidR="002627E8">
        <w:rPr>
          <w:lang w:val="en-GB"/>
        </w:rPr>
        <w:t>with respect to</w:t>
      </w:r>
      <w:r w:rsidR="00CD075C">
        <w:rPr>
          <w:lang w:val="en-GB"/>
        </w:rPr>
        <w:t xml:space="preserve"> </w:t>
      </w:r>
      <w:r w:rsidR="00CD075C" w:rsidRPr="00CD075C">
        <w:rPr>
          <w:lang w:val="en-GB"/>
        </w:rPr>
        <w:t xml:space="preserve">test design, intended purpose and/or the process technology. </w:t>
      </w:r>
    </w:p>
    <w:p w14:paraId="3C36F045" w14:textId="20C7556C" w:rsidR="001856AA" w:rsidRPr="0022392F" w:rsidRDefault="00CD075C" w:rsidP="00520AB9">
      <w:pPr>
        <w:pStyle w:val="berschrift1"/>
        <w:rPr>
          <w:lang w:val="en-GB"/>
        </w:rPr>
      </w:pPr>
      <w:r>
        <w:rPr>
          <w:lang w:val="en-GB"/>
        </w:rPr>
        <w:t>Reference to Annex</w:t>
      </w:r>
      <w:r w:rsidR="00263AF3" w:rsidRPr="0022392F">
        <w:rPr>
          <w:lang w:val="en-GB"/>
        </w:rPr>
        <w:t xml:space="preserve"> XIII</w:t>
      </w:r>
    </w:p>
    <w:p w14:paraId="67C5FD30" w14:textId="068BB94D" w:rsidR="002D37E7" w:rsidRPr="0022392F" w:rsidRDefault="004C4496" w:rsidP="003C64CB">
      <w:pPr>
        <w:jc w:val="both"/>
        <w:rPr>
          <w:rFonts w:cstheme="minorHAnsi"/>
          <w:lang w:val="en-GB"/>
        </w:rPr>
      </w:pPr>
      <w:r>
        <w:rPr>
          <w:rFonts w:cstheme="minorHAnsi"/>
          <w:lang w:val="en-GB"/>
        </w:rPr>
        <w:t xml:space="preserve">Even though IH-IVDs do not have to </w:t>
      </w:r>
      <w:r w:rsidRPr="004C4496">
        <w:rPr>
          <w:rFonts w:cstheme="minorHAnsi"/>
          <w:lang w:val="en-GB"/>
        </w:rPr>
        <w:t xml:space="preserve">explicitly comply with Annex XIII of the IVDR, it can be used as a valuable </w:t>
      </w:r>
      <w:r w:rsidR="005C05CA">
        <w:rPr>
          <w:rFonts w:cstheme="minorHAnsi"/>
          <w:lang w:val="en-GB"/>
        </w:rPr>
        <w:t>source of information</w:t>
      </w:r>
      <w:r w:rsidRPr="004C4496">
        <w:rPr>
          <w:rFonts w:cstheme="minorHAnsi"/>
          <w:lang w:val="en-GB"/>
        </w:rPr>
        <w:t xml:space="preserve"> and guid</w:t>
      </w:r>
      <w:r>
        <w:rPr>
          <w:rFonts w:cstheme="minorHAnsi"/>
          <w:lang w:val="en-GB"/>
        </w:rPr>
        <w:t>e</w:t>
      </w:r>
      <w:r w:rsidRPr="004C4496">
        <w:rPr>
          <w:rFonts w:cstheme="minorHAnsi"/>
          <w:lang w:val="en-GB"/>
        </w:rPr>
        <w:t xml:space="preserve"> for </w:t>
      </w:r>
      <w:r>
        <w:rPr>
          <w:rFonts w:cstheme="minorHAnsi"/>
          <w:lang w:val="en-GB"/>
        </w:rPr>
        <w:t xml:space="preserve">conducting </w:t>
      </w:r>
      <w:r w:rsidRPr="004C4496">
        <w:rPr>
          <w:rFonts w:cstheme="minorHAnsi"/>
          <w:lang w:val="en-GB"/>
        </w:rPr>
        <w:t xml:space="preserve">the performance assessment </w:t>
      </w:r>
      <w:r>
        <w:rPr>
          <w:rFonts w:cstheme="minorHAnsi"/>
          <w:lang w:val="en-GB"/>
        </w:rPr>
        <w:t xml:space="preserve">as </w:t>
      </w:r>
      <w:r w:rsidRPr="004C4496">
        <w:rPr>
          <w:rFonts w:cstheme="minorHAnsi"/>
          <w:lang w:val="en-GB"/>
        </w:rPr>
        <w:t xml:space="preserve">required </w:t>
      </w:r>
      <w:r>
        <w:rPr>
          <w:rFonts w:cstheme="minorHAnsi"/>
          <w:lang w:val="en-GB"/>
        </w:rPr>
        <w:t>by</w:t>
      </w:r>
      <w:r w:rsidRPr="004C4496">
        <w:rPr>
          <w:rFonts w:cstheme="minorHAnsi"/>
          <w:lang w:val="en-GB"/>
        </w:rPr>
        <w:t xml:space="preserve"> the IVDR.</w:t>
      </w:r>
      <w:r>
        <w:rPr>
          <w:rFonts w:cstheme="minorHAnsi"/>
          <w:lang w:val="en-GB"/>
        </w:rPr>
        <w:t xml:space="preserve"> </w:t>
      </w:r>
    </w:p>
    <w:p w14:paraId="5C7CBF32" w14:textId="5806D9DB" w:rsidR="0048404A" w:rsidRPr="0022392F" w:rsidRDefault="00085BBC" w:rsidP="003C64CB">
      <w:pPr>
        <w:jc w:val="both"/>
        <w:rPr>
          <w:rFonts w:cstheme="minorHAnsi"/>
          <w:lang w:val="en-GB"/>
        </w:rPr>
      </w:pPr>
      <w:r>
        <w:rPr>
          <w:rFonts w:cstheme="minorHAnsi"/>
          <w:lang w:val="en-GB"/>
        </w:rPr>
        <w:t xml:space="preserve">The performance evaluation is described in Annex XIII of the IVDR as follows: </w:t>
      </w:r>
    </w:p>
    <w:p w14:paraId="241B20FC" w14:textId="47F434C5" w:rsidR="005062AB" w:rsidRPr="0022392F" w:rsidRDefault="005062AB" w:rsidP="005062AB">
      <w:pPr>
        <w:pStyle w:val="Beschriftung"/>
        <w:rPr>
          <w:lang w:val="en-GB"/>
        </w:rPr>
      </w:pPr>
      <w:bookmarkStart w:id="7" w:name="_Ref73701105"/>
      <w:r w:rsidRPr="0022392F">
        <w:rPr>
          <w:lang w:val="en-GB"/>
        </w:rPr>
        <w:t xml:space="preserve">Table </w:t>
      </w:r>
      <w:r w:rsidR="00D20606" w:rsidRPr="0022392F">
        <w:rPr>
          <w:noProof/>
          <w:lang w:val="en-GB"/>
        </w:rPr>
        <w:fldChar w:fldCharType="begin"/>
      </w:r>
      <w:r w:rsidR="00D20606" w:rsidRPr="0022392F">
        <w:rPr>
          <w:noProof/>
          <w:lang w:val="en-GB"/>
        </w:rPr>
        <w:instrText xml:space="preserve"> SEQ Tabelle \* ARABIC </w:instrText>
      </w:r>
      <w:r w:rsidR="00D20606" w:rsidRPr="0022392F">
        <w:rPr>
          <w:noProof/>
          <w:lang w:val="en-GB"/>
        </w:rPr>
        <w:fldChar w:fldCharType="separate"/>
      </w:r>
      <w:r w:rsidR="00C97FD1" w:rsidRPr="0022392F">
        <w:rPr>
          <w:noProof/>
          <w:lang w:val="en-GB"/>
        </w:rPr>
        <w:t>5</w:t>
      </w:r>
      <w:r w:rsidR="00D20606" w:rsidRPr="0022392F">
        <w:rPr>
          <w:noProof/>
          <w:lang w:val="en-GB"/>
        </w:rPr>
        <w:fldChar w:fldCharType="end"/>
      </w:r>
      <w:bookmarkEnd w:id="7"/>
      <w:r w:rsidRPr="0022392F">
        <w:rPr>
          <w:lang w:val="en-GB"/>
        </w:rPr>
        <w:t xml:space="preserve"> IVDR - An</w:t>
      </w:r>
      <w:r w:rsidR="00085BBC">
        <w:rPr>
          <w:lang w:val="en-GB"/>
        </w:rPr>
        <w:t>nex</w:t>
      </w:r>
      <w:r w:rsidRPr="0022392F">
        <w:rPr>
          <w:lang w:val="en-GB"/>
        </w:rPr>
        <w:t xml:space="preserve"> XIII, </w:t>
      </w:r>
      <w:r w:rsidR="00085BBC">
        <w:rPr>
          <w:lang w:val="en-GB"/>
        </w:rPr>
        <w:t>Part</w:t>
      </w:r>
      <w:r w:rsidRPr="0022392F">
        <w:rPr>
          <w:lang w:val="en-GB"/>
        </w:rPr>
        <w:t xml:space="preserve"> A </w:t>
      </w:r>
      <w:r w:rsidR="00085BBC">
        <w:rPr>
          <w:lang w:val="en-GB"/>
        </w:rPr>
        <w:t>of the</w:t>
      </w:r>
      <w:r w:rsidRPr="0022392F">
        <w:rPr>
          <w:lang w:val="en-GB"/>
        </w:rPr>
        <w:t xml:space="preserve"> IVDR </w:t>
      </w:r>
    </w:p>
    <w:tbl>
      <w:tblPr>
        <w:tblW w:w="9072" w:type="dxa"/>
        <w:tblInd w:w="-5" w:type="dxa"/>
        <w:tblLook w:val="04A0" w:firstRow="1" w:lastRow="0" w:firstColumn="1" w:lastColumn="0" w:noHBand="0" w:noVBand="1"/>
      </w:tblPr>
      <w:tblGrid>
        <w:gridCol w:w="1276"/>
        <w:gridCol w:w="7796"/>
      </w:tblGrid>
      <w:tr w:rsidR="005062AB" w:rsidRPr="0022392F" w14:paraId="3C37F8FD" w14:textId="77777777" w:rsidTr="00D84F32">
        <w:trPr>
          <w:trHeight w:val="318"/>
        </w:trPr>
        <w:tc>
          <w:tcPr>
            <w:tcW w:w="90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FCD2602" w14:textId="77777777" w:rsidR="005062AB" w:rsidRPr="0022392F" w:rsidRDefault="005062AB" w:rsidP="00D84F32">
            <w:pPr>
              <w:pStyle w:val="Default"/>
              <w:spacing w:after="60"/>
              <w:jc w:val="both"/>
              <w:rPr>
                <w:rFonts w:asciiTheme="minorHAnsi" w:hAnsiTheme="minorHAnsi" w:cstheme="minorBidi"/>
                <w:b/>
                <w:bCs/>
                <w:iCs/>
                <w:color w:val="auto"/>
                <w:sz w:val="20"/>
                <w:szCs w:val="20"/>
              </w:rPr>
            </w:pPr>
            <w:r w:rsidRPr="0022392F">
              <w:rPr>
                <w:rFonts w:asciiTheme="minorHAnsi" w:hAnsiTheme="minorHAnsi" w:cstheme="minorBidi"/>
                <w:b/>
                <w:bCs/>
                <w:iCs/>
                <w:color w:val="auto"/>
                <w:sz w:val="20"/>
                <w:szCs w:val="20"/>
              </w:rPr>
              <w:t>IVDR</w:t>
            </w:r>
          </w:p>
        </w:tc>
      </w:tr>
      <w:tr w:rsidR="005062AB" w:rsidRPr="0022392F" w14:paraId="24BC0746" w14:textId="77777777" w:rsidTr="00D84F32">
        <w:trPr>
          <w:trHeight w:val="280"/>
        </w:trPr>
        <w:tc>
          <w:tcPr>
            <w:tcW w:w="90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A57C8B8" w14:textId="7685DE99" w:rsidR="005062AB" w:rsidRPr="0022392F" w:rsidRDefault="005062AB" w:rsidP="00D84F32">
            <w:pPr>
              <w:pStyle w:val="Default"/>
              <w:spacing w:after="60"/>
              <w:jc w:val="both"/>
              <w:rPr>
                <w:rFonts w:asciiTheme="minorHAnsi" w:hAnsiTheme="minorHAnsi" w:cstheme="minorBidi"/>
                <w:iCs/>
                <w:color w:val="auto"/>
                <w:sz w:val="20"/>
                <w:szCs w:val="20"/>
              </w:rPr>
            </w:pPr>
            <w:r w:rsidRPr="0022392F">
              <w:rPr>
                <w:rFonts w:asciiTheme="minorHAnsi" w:hAnsiTheme="minorHAnsi" w:cstheme="minorBidi"/>
                <w:color w:val="auto"/>
                <w:sz w:val="20"/>
                <w:szCs w:val="20"/>
              </w:rPr>
              <w:t>An</w:t>
            </w:r>
            <w:r w:rsidR="00085BBC">
              <w:rPr>
                <w:rFonts w:asciiTheme="minorHAnsi" w:hAnsiTheme="minorHAnsi" w:cstheme="minorBidi"/>
                <w:color w:val="auto"/>
                <w:sz w:val="20"/>
                <w:szCs w:val="20"/>
              </w:rPr>
              <w:t>nex</w:t>
            </w:r>
            <w:r w:rsidRPr="0022392F">
              <w:rPr>
                <w:rFonts w:asciiTheme="minorHAnsi" w:hAnsiTheme="minorHAnsi" w:cstheme="minorBidi"/>
                <w:color w:val="auto"/>
                <w:sz w:val="20"/>
                <w:szCs w:val="20"/>
              </w:rPr>
              <w:t xml:space="preserve"> XIII</w:t>
            </w:r>
            <w:r w:rsidR="005111AD" w:rsidRPr="0022392F">
              <w:rPr>
                <w:rFonts w:asciiTheme="minorHAnsi" w:hAnsiTheme="minorHAnsi" w:cstheme="minorBidi"/>
                <w:color w:val="auto"/>
                <w:sz w:val="20"/>
                <w:szCs w:val="20"/>
              </w:rPr>
              <w:t xml:space="preserve">, </w:t>
            </w:r>
            <w:r w:rsidR="00085BBC" w:rsidRPr="00085BBC">
              <w:rPr>
                <w:rFonts w:asciiTheme="minorHAnsi" w:hAnsiTheme="minorHAnsi" w:cstheme="minorBidi"/>
                <w:i/>
                <w:iCs/>
                <w:color w:val="auto"/>
                <w:sz w:val="20"/>
                <w:szCs w:val="20"/>
              </w:rPr>
              <w:t>Part</w:t>
            </w:r>
            <w:r w:rsidR="005111AD" w:rsidRPr="00085BBC">
              <w:rPr>
                <w:rFonts w:asciiTheme="minorHAnsi" w:hAnsiTheme="minorHAnsi" w:cstheme="minorBidi"/>
                <w:i/>
                <w:iCs/>
                <w:color w:val="auto"/>
                <w:sz w:val="20"/>
                <w:szCs w:val="20"/>
              </w:rPr>
              <w:t xml:space="preserve"> </w:t>
            </w:r>
            <w:r w:rsidR="005111AD" w:rsidRPr="0022392F">
              <w:rPr>
                <w:rFonts w:asciiTheme="minorHAnsi" w:hAnsiTheme="minorHAnsi" w:cstheme="minorBidi"/>
                <w:i/>
                <w:iCs/>
                <w:color w:val="auto"/>
                <w:sz w:val="20"/>
                <w:szCs w:val="20"/>
              </w:rPr>
              <w:t>A</w:t>
            </w:r>
          </w:p>
        </w:tc>
      </w:tr>
      <w:tr w:rsidR="005062AB" w:rsidRPr="00D57BC0" w14:paraId="6FE346B8" w14:textId="77777777" w:rsidTr="00D84F32">
        <w:trPr>
          <w:trHeight w:val="284"/>
        </w:trPr>
        <w:tc>
          <w:tcPr>
            <w:tcW w:w="1276" w:type="dxa"/>
            <w:tcBorders>
              <w:top w:val="single" w:sz="4" w:space="0" w:color="auto"/>
              <w:left w:val="single" w:sz="4" w:space="0" w:color="auto"/>
              <w:bottom w:val="single" w:sz="4" w:space="0" w:color="auto"/>
              <w:right w:val="single" w:sz="4" w:space="0" w:color="auto"/>
            </w:tcBorders>
          </w:tcPr>
          <w:p w14:paraId="5C6FC665" w14:textId="7D41D504" w:rsidR="005062AB" w:rsidRPr="0022392F" w:rsidRDefault="00085BBC" w:rsidP="00D84F32">
            <w:pPr>
              <w:pStyle w:val="Default"/>
              <w:spacing w:after="60"/>
              <w:rPr>
                <w:rFonts w:asciiTheme="minorHAnsi" w:hAnsiTheme="minorHAnsi" w:cstheme="minorBidi"/>
                <w:i/>
                <w:iCs/>
                <w:color w:val="auto"/>
                <w:sz w:val="20"/>
                <w:szCs w:val="20"/>
              </w:rPr>
            </w:pPr>
            <w:r>
              <w:rPr>
                <w:rFonts w:asciiTheme="minorHAnsi" w:hAnsiTheme="minorHAnsi" w:cstheme="minorBidi"/>
                <w:i/>
                <w:iCs/>
                <w:color w:val="auto"/>
                <w:sz w:val="20"/>
                <w:szCs w:val="20"/>
              </w:rPr>
              <w:t>Section</w:t>
            </w:r>
            <w:r w:rsidR="005062AB" w:rsidRPr="0022392F">
              <w:rPr>
                <w:rFonts w:asciiTheme="minorHAnsi" w:hAnsiTheme="minorHAnsi" w:cstheme="minorBidi"/>
                <w:i/>
                <w:iCs/>
                <w:color w:val="auto"/>
                <w:sz w:val="20"/>
                <w:szCs w:val="20"/>
              </w:rPr>
              <w:t xml:space="preserve"> 1</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7A9DDDA5" w14:textId="3F9D6EB4" w:rsidR="005062AB" w:rsidRPr="0022392F" w:rsidRDefault="00085BBC" w:rsidP="005062AB">
            <w:pPr>
              <w:rPr>
                <w:i/>
                <w:iCs/>
                <w:sz w:val="20"/>
                <w:szCs w:val="20"/>
                <w:lang w:val="en-GB"/>
              </w:rPr>
            </w:pPr>
            <w:r w:rsidRPr="004173D9">
              <w:rPr>
                <w:i/>
                <w:iCs/>
                <w:sz w:val="20"/>
                <w:szCs w:val="20"/>
                <w:lang w:val="en-GB"/>
              </w:rPr>
              <w:t>Performance evaluation of a device is a continuous process by which data are assessed and analysed to demonstrate the scientific validity, analytical performance and clinical performance of that device for its intended purpose as stated by the manufacturer. To plan, continuously conduct and document a performance evaluation, the manufacturer shall establish and update a performance evaluation plan. The performance evaluation plan shall specify the characteristics and the performance of the device as well as the process and criteria applied to generate the necessary clinical evidence.</w:t>
            </w:r>
            <w:r w:rsidRPr="00E1456B">
              <w:rPr>
                <w:color w:val="000000"/>
                <w:shd w:val="clear" w:color="auto" w:fill="FFFFFF"/>
                <w:lang w:val="en-GB"/>
              </w:rPr>
              <w:t xml:space="preserve"> </w:t>
            </w:r>
          </w:p>
          <w:p w14:paraId="3CB60DD4" w14:textId="77777777" w:rsidR="004173D9" w:rsidRPr="004173D9" w:rsidRDefault="004173D9" w:rsidP="004173D9">
            <w:pPr>
              <w:pStyle w:val="Standard1"/>
              <w:shd w:val="clear" w:color="auto" w:fill="FFFFFF"/>
              <w:spacing w:before="120" w:beforeAutospacing="0" w:after="0" w:afterAutospacing="0"/>
              <w:jc w:val="both"/>
              <w:rPr>
                <w:rFonts w:asciiTheme="minorHAnsi" w:eastAsiaTheme="minorHAnsi" w:hAnsiTheme="minorHAnsi" w:cstheme="minorBidi"/>
                <w:i/>
                <w:iCs/>
                <w:sz w:val="20"/>
                <w:szCs w:val="20"/>
                <w:lang w:eastAsia="en-US"/>
              </w:rPr>
            </w:pPr>
            <w:r w:rsidRPr="004173D9">
              <w:rPr>
                <w:rFonts w:asciiTheme="minorHAnsi" w:eastAsiaTheme="minorHAnsi" w:hAnsiTheme="minorHAnsi" w:cstheme="minorBidi"/>
                <w:i/>
                <w:iCs/>
                <w:sz w:val="20"/>
                <w:szCs w:val="20"/>
                <w:lang w:eastAsia="en-US"/>
              </w:rPr>
              <w:t>The performance evaluation shall be thorough and objective, considering both favourable and unfavourable data.</w:t>
            </w:r>
          </w:p>
          <w:p w14:paraId="471AF2D9" w14:textId="45E95A2B" w:rsidR="005062AB" w:rsidRPr="004173D9" w:rsidRDefault="004173D9" w:rsidP="004173D9">
            <w:pPr>
              <w:pStyle w:val="Standard1"/>
              <w:shd w:val="clear" w:color="auto" w:fill="FFFFFF"/>
              <w:spacing w:before="120" w:beforeAutospacing="0" w:after="0" w:afterAutospacing="0"/>
              <w:jc w:val="both"/>
              <w:rPr>
                <w:rFonts w:asciiTheme="minorHAnsi" w:eastAsiaTheme="minorHAnsi" w:hAnsiTheme="minorHAnsi" w:cstheme="minorBidi"/>
                <w:i/>
                <w:iCs/>
                <w:sz w:val="20"/>
                <w:szCs w:val="20"/>
                <w:lang w:eastAsia="en-US"/>
              </w:rPr>
            </w:pPr>
            <w:r w:rsidRPr="004173D9">
              <w:rPr>
                <w:rFonts w:asciiTheme="minorHAnsi" w:eastAsiaTheme="minorHAnsi" w:hAnsiTheme="minorHAnsi" w:cstheme="minorBidi"/>
                <w:i/>
                <w:iCs/>
                <w:sz w:val="20"/>
                <w:szCs w:val="20"/>
                <w:lang w:eastAsia="en-US"/>
              </w:rPr>
              <w:t>Its depth and extent shall be proportionate and appropriate to the characteristics of the device including the risks, risk class, performance and its intended purpose.</w:t>
            </w:r>
          </w:p>
        </w:tc>
      </w:tr>
    </w:tbl>
    <w:p w14:paraId="7F0F7991" w14:textId="77777777" w:rsidR="00263AF3" w:rsidRPr="0022392F" w:rsidRDefault="00263AF3" w:rsidP="003C64CB">
      <w:pPr>
        <w:jc w:val="both"/>
        <w:rPr>
          <w:rFonts w:cstheme="minorHAnsi"/>
          <w:lang w:val="en-GB"/>
        </w:rPr>
      </w:pPr>
    </w:p>
    <w:p w14:paraId="5BF0AECB" w14:textId="0FFB0D3A" w:rsidR="004173D9" w:rsidRDefault="004173D9" w:rsidP="003C64CB">
      <w:pPr>
        <w:jc w:val="both"/>
        <w:rPr>
          <w:rFonts w:cstheme="minorHAnsi"/>
          <w:lang w:val="en-GB"/>
        </w:rPr>
      </w:pPr>
      <w:r w:rsidRPr="004173D9">
        <w:rPr>
          <w:rFonts w:cstheme="minorHAnsi"/>
          <w:lang w:val="en-GB"/>
        </w:rPr>
        <w:t>Further on</w:t>
      </w:r>
      <w:r w:rsidR="00EA26E0">
        <w:rPr>
          <w:rFonts w:cstheme="minorHAnsi"/>
          <w:lang w:val="en-GB"/>
        </w:rPr>
        <w:t xml:space="preserve">, </w:t>
      </w:r>
      <w:r w:rsidRPr="004173D9">
        <w:rPr>
          <w:rFonts w:cstheme="minorHAnsi"/>
          <w:lang w:val="en-GB"/>
        </w:rPr>
        <w:t>Annex XIII, Chapter 1, Section 1.2 describes how to demonstrate scientific validity and analytical and clinical performance (for CE-IVD</w:t>
      </w:r>
      <w:r>
        <w:rPr>
          <w:rFonts w:cstheme="minorHAnsi"/>
          <w:lang w:val="en-GB"/>
        </w:rPr>
        <w:t>s</w:t>
      </w:r>
      <w:r w:rsidRPr="004173D9">
        <w:rPr>
          <w:rFonts w:cstheme="minorHAnsi"/>
          <w:lang w:val="en-GB"/>
        </w:rPr>
        <w:t>!).</w:t>
      </w:r>
    </w:p>
    <w:p w14:paraId="17585662" w14:textId="18E95001" w:rsidR="00521675" w:rsidRPr="0022392F" w:rsidRDefault="00813903" w:rsidP="003C64CB">
      <w:pPr>
        <w:jc w:val="both"/>
        <w:rPr>
          <w:rFonts w:cstheme="minorHAnsi"/>
          <w:lang w:val="en-GB"/>
        </w:rPr>
      </w:pPr>
      <w:r w:rsidRPr="00813903">
        <w:rPr>
          <w:rFonts w:cstheme="minorHAnsi"/>
          <w:lang w:val="en-GB"/>
        </w:rPr>
        <w:t xml:space="preserve">The clinical evidence </w:t>
      </w:r>
      <w:r w:rsidR="00EA26E0">
        <w:rPr>
          <w:rFonts w:cstheme="minorHAnsi"/>
          <w:lang w:val="en-GB"/>
        </w:rPr>
        <w:t>is to</w:t>
      </w:r>
      <w:r w:rsidRPr="00813903">
        <w:rPr>
          <w:rFonts w:cstheme="minorHAnsi"/>
          <w:lang w:val="en-GB"/>
        </w:rPr>
        <w:t xml:space="preserve"> be based on the results of the assessment of scientific validity and analytical and clinical performance and </w:t>
      </w:r>
      <w:r w:rsidR="00EA26E0">
        <w:rPr>
          <w:rFonts w:cstheme="minorHAnsi"/>
          <w:lang w:val="en-GB"/>
        </w:rPr>
        <w:t>is to</w:t>
      </w:r>
      <w:r w:rsidRPr="00813903">
        <w:rPr>
          <w:rFonts w:cstheme="minorHAnsi"/>
          <w:lang w:val="en-GB"/>
        </w:rPr>
        <w:t xml:space="preserve"> be documented in a performance evaluation report as specified in Annex XIII. The scope of such a report is </w:t>
      </w:r>
      <w:r w:rsidR="00DF53FB">
        <w:rPr>
          <w:rFonts w:cstheme="minorHAnsi"/>
          <w:lang w:val="en-GB"/>
        </w:rPr>
        <w:t>outline</w:t>
      </w:r>
      <w:r w:rsidR="00EA26E0">
        <w:rPr>
          <w:rFonts w:cstheme="minorHAnsi"/>
          <w:lang w:val="en-GB"/>
        </w:rPr>
        <w:t>d</w:t>
      </w:r>
      <w:r w:rsidRPr="00813903">
        <w:rPr>
          <w:rFonts w:cstheme="minorHAnsi"/>
          <w:lang w:val="en-GB"/>
        </w:rPr>
        <w:t xml:space="preserve"> in detail in Annex XIII, Chapter 1, Section 1.3.2.  </w:t>
      </w:r>
      <w:r w:rsidR="00521675" w:rsidRPr="0022392F">
        <w:rPr>
          <w:rFonts w:cstheme="minorHAnsi"/>
          <w:lang w:val="en-GB"/>
        </w:rPr>
        <w:t xml:space="preserve">  </w:t>
      </w:r>
    </w:p>
    <w:p w14:paraId="0EB727D9" w14:textId="797AA05B" w:rsidR="00521675" w:rsidRPr="0022392F" w:rsidRDefault="00F21A03" w:rsidP="00521675">
      <w:pPr>
        <w:jc w:val="both"/>
        <w:rPr>
          <w:rFonts w:cstheme="minorHAnsi"/>
          <w:lang w:val="en-GB"/>
        </w:rPr>
      </w:pPr>
      <w:r>
        <w:rPr>
          <w:rFonts w:cstheme="minorHAnsi"/>
          <w:lang w:val="en-GB"/>
        </w:rPr>
        <w:t>As</w:t>
      </w:r>
      <w:r w:rsidRPr="00F21A03">
        <w:rPr>
          <w:rFonts w:cstheme="minorHAnsi"/>
          <w:lang w:val="en-GB"/>
        </w:rPr>
        <w:t xml:space="preserve"> Annex XIII </w:t>
      </w:r>
      <w:r w:rsidR="004B6E09">
        <w:rPr>
          <w:rFonts w:cstheme="minorHAnsi"/>
          <w:lang w:val="en-GB"/>
        </w:rPr>
        <w:t>does not explicitly apply to</w:t>
      </w:r>
      <w:r w:rsidRPr="00F21A03">
        <w:rPr>
          <w:rFonts w:cstheme="minorHAnsi"/>
          <w:lang w:val="en-GB"/>
        </w:rPr>
        <w:t xml:space="preserve"> IH-IVDs, the information in this Annex </w:t>
      </w:r>
      <w:r>
        <w:rPr>
          <w:rFonts w:cstheme="minorHAnsi"/>
          <w:lang w:val="en-GB"/>
        </w:rPr>
        <w:t>should</w:t>
      </w:r>
      <w:r w:rsidRPr="00F21A03">
        <w:rPr>
          <w:rFonts w:cstheme="minorHAnsi"/>
          <w:lang w:val="en-GB"/>
        </w:rPr>
        <w:t xml:space="preserve"> be </w:t>
      </w:r>
      <w:r>
        <w:rPr>
          <w:rFonts w:cstheme="minorHAnsi"/>
          <w:lang w:val="en-GB"/>
        </w:rPr>
        <w:t>regarded</w:t>
      </w:r>
      <w:r w:rsidRPr="00F21A03">
        <w:rPr>
          <w:rFonts w:cstheme="minorHAnsi"/>
          <w:lang w:val="en-GB"/>
        </w:rPr>
        <w:t xml:space="preserve"> as purely informa</w:t>
      </w:r>
      <w:r>
        <w:rPr>
          <w:rFonts w:cstheme="minorHAnsi"/>
          <w:lang w:val="en-GB"/>
        </w:rPr>
        <w:t>tive</w:t>
      </w:r>
      <w:r w:rsidRPr="00F21A03">
        <w:rPr>
          <w:rFonts w:cstheme="minorHAnsi"/>
          <w:lang w:val="en-GB"/>
        </w:rPr>
        <w:t xml:space="preserve">, </w:t>
      </w:r>
      <w:r w:rsidR="00DF53FB">
        <w:rPr>
          <w:rFonts w:cstheme="minorHAnsi"/>
          <w:lang w:val="en-GB"/>
        </w:rPr>
        <w:t>however it</w:t>
      </w:r>
      <w:r w:rsidRPr="00F21A03">
        <w:rPr>
          <w:rFonts w:cstheme="minorHAnsi"/>
          <w:lang w:val="en-GB"/>
        </w:rPr>
        <w:t xml:space="preserve"> can be used </w:t>
      </w:r>
      <w:r w:rsidR="00EA26E0">
        <w:rPr>
          <w:rFonts w:cstheme="minorHAnsi"/>
          <w:lang w:val="en-GB"/>
        </w:rPr>
        <w:t>for</w:t>
      </w:r>
      <w:r w:rsidRPr="00F21A03">
        <w:rPr>
          <w:rFonts w:cstheme="minorHAnsi"/>
          <w:lang w:val="en-GB"/>
        </w:rPr>
        <w:t xml:space="preserve"> guidance or assistance. For example, according to Annex I, </w:t>
      </w:r>
      <w:r>
        <w:rPr>
          <w:rFonts w:cstheme="minorHAnsi"/>
          <w:lang w:val="en-GB"/>
        </w:rPr>
        <w:t>which is compulsory,</w:t>
      </w:r>
      <w:r w:rsidRPr="00F21A03">
        <w:rPr>
          <w:rFonts w:cstheme="minorHAnsi"/>
          <w:lang w:val="en-GB"/>
        </w:rPr>
        <w:t xml:space="preserve"> neither a performance evaluation plan nor </w:t>
      </w:r>
      <w:r w:rsidR="004B6E09">
        <w:rPr>
          <w:rFonts w:cstheme="minorHAnsi"/>
          <w:lang w:val="en-GB"/>
        </w:rPr>
        <w:t>a</w:t>
      </w:r>
      <w:r w:rsidRPr="00F21A03">
        <w:rPr>
          <w:rFonts w:cstheme="minorHAnsi"/>
          <w:lang w:val="en-GB"/>
        </w:rPr>
        <w:t xml:space="preserve"> performance evaluation report is mandatory for IH-IVDs. </w:t>
      </w:r>
    </w:p>
    <w:p w14:paraId="6D513648" w14:textId="39507A8B" w:rsidR="005062AB" w:rsidRPr="0022392F" w:rsidRDefault="004B6E09" w:rsidP="00520AB9">
      <w:pPr>
        <w:jc w:val="both"/>
        <w:rPr>
          <w:rFonts w:cstheme="minorHAnsi"/>
          <w:lang w:val="en-GB"/>
        </w:rPr>
      </w:pPr>
      <w:r w:rsidRPr="004B6E09">
        <w:rPr>
          <w:rFonts w:cstheme="minorHAnsi"/>
          <w:lang w:val="en-GB"/>
        </w:rPr>
        <w:t xml:space="preserve">Part B of Annex XIII describes how </w:t>
      </w:r>
      <w:r>
        <w:rPr>
          <w:rFonts w:cstheme="minorHAnsi"/>
          <w:lang w:val="en-GB"/>
        </w:rPr>
        <w:t xml:space="preserve">to plan and document </w:t>
      </w:r>
      <w:r w:rsidRPr="004B6E09">
        <w:rPr>
          <w:rFonts w:cstheme="minorHAnsi"/>
          <w:lang w:val="en-GB"/>
        </w:rPr>
        <w:t xml:space="preserve">post-market performance </w:t>
      </w:r>
      <w:r w:rsidR="00EA26E0">
        <w:rPr>
          <w:rFonts w:cstheme="minorHAnsi"/>
          <w:lang w:val="en-GB"/>
        </w:rPr>
        <w:t>surveillance</w:t>
      </w:r>
      <w:r w:rsidRPr="004B6E09">
        <w:rPr>
          <w:rFonts w:cstheme="minorHAnsi"/>
          <w:lang w:val="en-GB"/>
        </w:rPr>
        <w:t xml:space="preserve">. </w:t>
      </w:r>
      <w:r>
        <w:rPr>
          <w:rFonts w:cstheme="minorHAnsi"/>
          <w:lang w:val="en-GB"/>
        </w:rPr>
        <w:t xml:space="preserve">Even though the </w:t>
      </w:r>
      <w:r w:rsidRPr="004B6E09">
        <w:rPr>
          <w:rFonts w:cstheme="minorHAnsi"/>
          <w:lang w:val="en-GB"/>
        </w:rPr>
        <w:t xml:space="preserve">performance </w:t>
      </w:r>
      <w:r>
        <w:rPr>
          <w:rFonts w:cstheme="minorHAnsi"/>
          <w:lang w:val="en-GB"/>
        </w:rPr>
        <w:t>of</w:t>
      </w:r>
      <w:r w:rsidRPr="004B6E09">
        <w:rPr>
          <w:rFonts w:cstheme="minorHAnsi"/>
          <w:lang w:val="en-GB"/>
        </w:rPr>
        <w:t xml:space="preserve"> IH-IVDs </w:t>
      </w:r>
      <w:r>
        <w:rPr>
          <w:rFonts w:cstheme="minorHAnsi"/>
          <w:lang w:val="en-GB"/>
        </w:rPr>
        <w:t xml:space="preserve">must be monitored throughout the lifetime of the device </w:t>
      </w:r>
      <w:r w:rsidRPr="004B6E09">
        <w:rPr>
          <w:rFonts w:cstheme="minorHAnsi"/>
          <w:lang w:val="en-GB"/>
        </w:rPr>
        <w:t>according to Annex I</w:t>
      </w:r>
      <w:r>
        <w:rPr>
          <w:rFonts w:cstheme="minorHAnsi"/>
          <w:lang w:val="en-GB"/>
        </w:rPr>
        <w:t>,</w:t>
      </w:r>
      <w:r w:rsidRPr="004B6E09">
        <w:rPr>
          <w:rFonts w:cstheme="minorHAnsi"/>
          <w:lang w:val="en-GB"/>
        </w:rPr>
        <w:t xml:space="preserve"> Chapter 1, Section 6, the laboratory is not explicitly </w:t>
      </w:r>
      <w:r>
        <w:rPr>
          <w:rFonts w:cstheme="minorHAnsi"/>
          <w:lang w:val="en-GB"/>
        </w:rPr>
        <w:t>required</w:t>
      </w:r>
      <w:r w:rsidRPr="004B6E09">
        <w:rPr>
          <w:rFonts w:cstheme="minorHAnsi"/>
          <w:lang w:val="en-GB"/>
        </w:rPr>
        <w:t xml:space="preserve"> to </w:t>
      </w:r>
      <w:r>
        <w:rPr>
          <w:rFonts w:cstheme="minorHAnsi"/>
          <w:lang w:val="en-GB"/>
        </w:rPr>
        <w:t>adhere to</w:t>
      </w:r>
      <w:r w:rsidRPr="004B6E09">
        <w:rPr>
          <w:rFonts w:cstheme="minorHAnsi"/>
          <w:lang w:val="en-GB"/>
        </w:rPr>
        <w:t xml:space="preserve"> Part B </w:t>
      </w:r>
      <w:r>
        <w:rPr>
          <w:rFonts w:cstheme="minorHAnsi"/>
          <w:lang w:val="en-GB"/>
        </w:rPr>
        <w:t xml:space="preserve">of </w:t>
      </w:r>
      <w:r w:rsidRPr="004B6E09">
        <w:rPr>
          <w:rFonts w:cstheme="minorHAnsi"/>
          <w:lang w:val="en-GB"/>
        </w:rPr>
        <w:t xml:space="preserve">Annex XIII. </w:t>
      </w:r>
    </w:p>
    <w:p w14:paraId="40BA950B" w14:textId="77777777" w:rsidR="00C959EF" w:rsidRPr="0022392F" w:rsidRDefault="00C959EF">
      <w:pPr>
        <w:rPr>
          <w:rFonts w:asciiTheme="majorHAnsi" w:eastAsiaTheme="majorEastAsia" w:hAnsiTheme="majorHAnsi" w:cstheme="majorBidi"/>
          <w:color w:val="2E74B5" w:themeColor="accent1" w:themeShade="BF"/>
          <w:sz w:val="32"/>
          <w:szCs w:val="32"/>
          <w:lang w:val="en-GB"/>
        </w:rPr>
      </w:pPr>
      <w:r w:rsidRPr="0022392F">
        <w:rPr>
          <w:lang w:val="en-GB"/>
        </w:rPr>
        <w:br w:type="page"/>
      </w:r>
    </w:p>
    <w:p w14:paraId="74107F30" w14:textId="6CEB8436" w:rsidR="00E81CB3" w:rsidRPr="0022392F" w:rsidRDefault="004B6E09" w:rsidP="0023002C">
      <w:pPr>
        <w:pStyle w:val="berschrift1"/>
        <w:rPr>
          <w:lang w:val="en-GB"/>
        </w:rPr>
      </w:pPr>
      <w:r>
        <w:rPr>
          <w:lang w:val="en-GB"/>
        </w:rPr>
        <w:lastRenderedPageBreak/>
        <w:t xml:space="preserve">Further requirements of Annex I </w:t>
      </w:r>
      <w:r w:rsidR="00C209F5">
        <w:rPr>
          <w:lang w:val="en-GB"/>
        </w:rPr>
        <w:t>that</w:t>
      </w:r>
      <w:r>
        <w:rPr>
          <w:lang w:val="en-GB"/>
        </w:rPr>
        <w:t xml:space="preserve"> </w:t>
      </w:r>
      <w:r w:rsidR="00DF53FB">
        <w:rPr>
          <w:lang w:val="en-GB"/>
        </w:rPr>
        <w:t>relate to</w:t>
      </w:r>
      <w:r>
        <w:rPr>
          <w:lang w:val="en-GB"/>
        </w:rPr>
        <w:t xml:space="preserve"> performance </w:t>
      </w:r>
    </w:p>
    <w:p w14:paraId="5C5E9C2C" w14:textId="68DAEE4E" w:rsidR="00AA1441" w:rsidRPr="0022392F" w:rsidRDefault="0056774E" w:rsidP="0041718F">
      <w:pPr>
        <w:jc w:val="both"/>
        <w:rPr>
          <w:lang w:val="en-GB"/>
        </w:rPr>
      </w:pPr>
      <w:r>
        <w:rPr>
          <w:lang w:val="en-GB"/>
        </w:rPr>
        <w:t>Even though</w:t>
      </w:r>
      <w:r w:rsidRPr="0056774E">
        <w:rPr>
          <w:lang w:val="en-GB"/>
        </w:rPr>
        <w:t xml:space="preserve"> the requirements </w:t>
      </w:r>
      <w:r w:rsidR="00DF53FB">
        <w:rPr>
          <w:lang w:val="en-GB"/>
        </w:rPr>
        <w:t>relating to</w:t>
      </w:r>
      <w:r w:rsidRPr="0056774E">
        <w:rPr>
          <w:lang w:val="en-GB"/>
        </w:rPr>
        <w:t xml:space="preserve"> performance are mainly presented in </w:t>
      </w:r>
      <w:r>
        <w:rPr>
          <w:lang w:val="en-GB"/>
        </w:rPr>
        <w:t>S</w:t>
      </w:r>
      <w:r w:rsidRPr="0056774E">
        <w:rPr>
          <w:lang w:val="en-GB"/>
        </w:rPr>
        <w:t xml:space="preserve">ection 9 of Annex I </w:t>
      </w:r>
      <w:r>
        <w:rPr>
          <w:lang w:val="en-GB"/>
        </w:rPr>
        <w:t>“Requirements Regarding P</w:t>
      </w:r>
      <w:r w:rsidRPr="0056774E">
        <w:rPr>
          <w:lang w:val="en-GB"/>
        </w:rPr>
        <w:t xml:space="preserve">erformance, </w:t>
      </w:r>
      <w:r>
        <w:rPr>
          <w:lang w:val="en-GB"/>
        </w:rPr>
        <w:t>D</w:t>
      </w:r>
      <w:r w:rsidRPr="0056774E">
        <w:rPr>
          <w:lang w:val="en-GB"/>
        </w:rPr>
        <w:t xml:space="preserve">esign and </w:t>
      </w:r>
      <w:r>
        <w:rPr>
          <w:lang w:val="en-GB"/>
        </w:rPr>
        <w:t>M</w:t>
      </w:r>
      <w:r w:rsidRPr="0056774E">
        <w:rPr>
          <w:lang w:val="en-GB"/>
        </w:rPr>
        <w:t>anufactur</w:t>
      </w:r>
      <w:r>
        <w:rPr>
          <w:lang w:val="en-GB"/>
        </w:rPr>
        <w:t>e”</w:t>
      </w:r>
      <w:r w:rsidRPr="0056774E">
        <w:rPr>
          <w:lang w:val="en-GB"/>
        </w:rPr>
        <w:t xml:space="preserve">, </w:t>
      </w:r>
      <w:r>
        <w:rPr>
          <w:lang w:val="en-GB"/>
        </w:rPr>
        <w:t xml:space="preserve">performance </w:t>
      </w:r>
      <w:r w:rsidRPr="0056774E">
        <w:rPr>
          <w:lang w:val="en-GB"/>
        </w:rPr>
        <w:t xml:space="preserve">requirements </w:t>
      </w:r>
      <w:r>
        <w:rPr>
          <w:lang w:val="en-GB"/>
        </w:rPr>
        <w:t>are also outlined</w:t>
      </w:r>
      <w:r w:rsidRPr="0056774E">
        <w:rPr>
          <w:lang w:val="en-GB"/>
        </w:rPr>
        <w:t xml:space="preserve"> in other parts of Annex I (as shown </w:t>
      </w:r>
      <w:r>
        <w:rPr>
          <w:lang w:val="en-GB"/>
        </w:rPr>
        <w:t>for example in</w:t>
      </w:r>
      <w:r w:rsidRPr="0056774E">
        <w:rPr>
          <w:lang w:val="en-GB"/>
        </w:rPr>
        <w:t xml:space="preserve"> </w:t>
      </w:r>
      <w:r w:rsidRPr="0022392F">
        <w:rPr>
          <w:lang w:val="en-GB"/>
        </w:rPr>
        <w:fldChar w:fldCharType="begin"/>
      </w:r>
      <w:r w:rsidRPr="0022392F">
        <w:rPr>
          <w:lang w:val="en-GB"/>
        </w:rPr>
        <w:instrText xml:space="preserve"> REF _Ref80617778 \h </w:instrText>
      </w:r>
      <w:r w:rsidRPr="0022392F">
        <w:rPr>
          <w:lang w:val="en-GB"/>
        </w:rPr>
      </w:r>
      <w:r w:rsidRPr="0022392F">
        <w:rPr>
          <w:lang w:val="en-GB"/>
        </w:rPr>
        <w:fldChar w:fldCharType="separate"/>
      </w:r>
      <w:r w:rsidRPr="0022392F">
        <w:rPr>
          <w:lang w:val="en-GB"/>
        </w:rPr>
        <w:t xml:space="preserve">Table </w:t>
      </w:r>
      <w:r w:rsidRPr="0022392F">
        <w:rPr>
          <w:noProof/>
          <w:lang w:val="en-GB"/>
        </w:rPr>
        <w:t>6</w:t>
      </w:r>
      <w:r w:rsidRPr="0022392F">
        <w:rPr>
          <w:lang w:val="en-GB"/>
        </w:rPr>
        <w:fldChar w:fldCharType="end"/>
      </w:r>
      <w:r w:rsidRPr="0022392F">
        <w:rPr>
          <w:lang w:val="en-GB"/>
        </w:rPr>
        <w:t xml:space="preserve"> </w:t>
      </w:r>
      <w:r>
        <w:rPr>
          <w:lang w:val="en-GB"/>
        </w:rPr>
        <w:t>a</w:t>
      </w:r>
      <w:r w:rsidRPr="0022392F">
        <w:rPr>
          <w:lang w:val="en-GB"/>
        </w:rPr>
        <w:t xml:space="preserve">nd </w:t>
      </w:r>
      <w:r w:rsidRPr="0022392F">
        <w:rPr>
          <w:lang w:val="en-GB"/>
        </w:rPr>
        <w:fldChar w:fldCharType="begin"/>
      </w:r>
      <w:r w:rsidRPr="0022392F">
        <w:rPr>
          <w:lang w:val="en-GB"/>
        </w:rPr>
        <w:instrText xml:space="preserve"> REF _Ref80617825 \h </w:instrText>
      </w:r>
      <w:r w:rsidRPr="0022392F">
        <w:rPr>
          <w:lang w:val="en-GB"/>
        </w:rPr>
      </w:r>
      <w:r w:rsidRPr="0022392F">
        <w:rPr>
          <w:lang w:val="en-GB"/>
        </w:rPr>
        <w:fldChar w:fldCharType="separate"/>
      </w:r>
      <w:r w:rsidRPr="0022392F">
        <w:rPr>
          <w:lang w:val="en-GB"/>
        </w:rPr>
        <w:t xml:space="preserve">Table </w:t>
      </w:r>
      <w:r w:rsidRPr="0022392F">
        <w:rPr>
          <w:noProof/>
          <w:lang w:val="en-GB"/>
        </w:rPr>
        <w:t>7</w:t>
      </w:r>
      <w:r w:rsidRPr="0022392F">
        <w:rPr>
          <w:lang w:val="en-GB"/>
        </w:rPr>
        <w:fldChar w:fldCharType="end"/>
      </w:r>
      <w:r w:rsidR="00DF53FB">
        <w:rPr>
          <w:lang w:val="en-GB"/>
        </w:rPr>
        <w:t>).</w:t>
      </w:r>
    </w:p>
    <w:p w14:paraId="639CE4E8" w14:textId="63D63428" w:rsidR="00AA1441" w:rsidRPr="0022392F" w:rsidRDefault="00AA1441" w:rsidP="00AA1441">
      <w:pPr>
        <w:pStyle w:val="Beschriftung"/>
        <w:jc w:val="both"/>
        <w:rPr>
          <w:lang w:val="en-GB"/>
        </w:rPr>
      </w:pPr>
      <w:bookmarkStart w:id="8" w:name="_Ref80617778"/>
      <w:r w:rsidRPr="0022392F">
        <w:rPr>
          <w:lang w:val="en-GB"/>
        </w:rPr>
        <w:t xml:space="preserve">Table </w:t>
      </w:r>
      <w:r w:rsidRPr="0022392F">
        <w:rPr>
          <w:noProof/>
          <w:lang w:val="en-GB"/>
        </w:rPr>
        <w:fldChar w:fldCharType="begin"/>
      </w:r>
      <w:r w:rsidRPr="0022392F">
        <w:rPr>
          <w:noProof/>
          <w:lang w:val="en-GB"/>
        </w:rPr>
        <w:instrText xml:space="preserve"> SEQ Tabelle \* ARABIC </w:instrText>
      </w:r>
      <w:r w:rsidRPr="0022392F">
        <w:rPr>
          <w:noProof/>
          <w:lang w:val="en-GB"/>
        </w:rPr>
        <w:fldChar w:fldCharType="separate"/>
      </w:r>
      <w:r w:rsidR="00C97FD1" w:rsidRPr="0022392F">
        <w:rPr>
          <w:noProof/>
          <w:lang w:val="en-GB"/>
        </w:rPr>
        <w:t>6</w:t>
      </w:r>
      <w:r w:rsidRPr="0022392F">
        <w:rPr>
          <w:noProof/>
          <w:lang w:val="en-GB"/>
        </w:rPr>
        <w:fldChar w:fldCharType="end"/>
      </w:r>
      <w:bookmarkEnd w:id="8"/>
      <w:r w:rsidRPr="0022392F">
        <w:rPr>
          <w:lang w:val="en-GB"/>
        </w:rPr>
        <w:t xml:space="preserve"> IVDR - An</w:t>
      </w:r>
      <w:r w:rsidR="0056774E">
        <w:rPr>
          <w:lang w:val="en-GB"/>
        </w:rPr>
        <w:t>nex</w:t>
      </w:r>
      <w:r w:rsidRPr="0022392F">
        <w:rPr>
          <w:lang w:val="en-GB"/>
        </w:rPr>
        <w:t xml:space="preserve"> I, </w:t>
      </w:r>
      <w:r w:rsidR="0056774E">
        <w:rPr>
          <w:lang w:val="en-GB"/>
        </w:rPr>
        <w:t>Chapter</w:t>
      </w:r>
      <w:r w:rsidRPr="0022392F">
        <w:rPr>
          <w:lang w:val="en-GB"/>
        </w:rPr>
        <w:t xml:space="preserve"> 2, </w:t>
      </w:r>
      <w:r w:rsidR="0056774E">
        <w:rPr>
          <w:lang w:val="en-GB"/>
        </w:rPr>
        <w:t>Section</w:t>
      </w:r>
      <w:r w:rsidR="0097068B">
        <w:rPr>
          <w:lang w:val="en-GB"/>
        </w:rPr>
        <w:t>s</w:t>
      </w:r>
      <w:r w:rsidRPr="0022392F">
        <w:rPr>
          <w:lang w:val="en-GB"/>
        </w:rPr>
        <w:t xml:space="preserve"> 10</w:t>
      </w:r>
      <w:r w:rsidR="0097068B">
        <w:rPr>
          <w:lang w:val="en-GB"/>
        </w:rPr>
        <w:t>.1, 13.1 and 14.1</w:t>
      </w:r>
    </w:p>
    <w:tbl>
      <w:tblPr>
        <w:tblW w:w="8784" w:type="dxa"/>
        <w:tblLook w:val="04A0" w:firstRow="1" w:lastRow="0" w:firstColumn="1" w:lastColumn="0" w:noHBand="0" w:noVBand="1"/>
      </w:tblPr>
      <w:tblGrid>
        <w:gridCol w:w="1129"/>
        <w:gridCol w:w="7655"/>
      </w:tblGrid>
      <w:tr w:rsidR="00AA1441" w:rsidRPr="0022392F" w14:paraId="33DEDABA" w14:textId="77777777" w:rsidTr="008C1F23">
        <w:trPr>
          <w:trHeight w:val="318"/>
        </w:trPr>
        <w:tc>
          <w:tcPr>
            <w:tcW w:w="8784"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50675B8" w14:textId="77777777" w:rsidR="00AA1441" w:rsidRPr="0022392F" w:rsidRDefault="00AA1441" w:rsidP="008C1F23">
            <w:pPr>
              <w:pStyle w:val="Default"/>
              <w:spacing w:after="60"/>
              <w:rPr>
                <w:rFonts w:asciiTheme="minorHAnsi" w:hAnsiTheme="minorHAnsi" w:cstheme="minorBidi"/>
                <w:b/>
                <w:bCs/>
                <w:i/>
                <w:color w:val="auto"/>
                <w:sz w:val="20"/>
                <w:szCs w:val="20"/>
              </w:rPr>
            </w:pPr>
            <w:r w:rsidRPr="0022392F">
              <w:rPr>
                <w:rFonts w:asciiTheme="minorHAnsi" w:hAnsiTheme="minorHAnsi" w:cstheme="minorBidi"/>
                <w:b/>
                <w:bCs/>
                <w:i/>
                <w:color w:val="auto"/>
                <w:sz w:val="20"/>
                <w:szCs w:val="20"/>
              </w:rPr>
              <w:t>IVDR</w:t>
            </w:r>
          </w:p>
        </w:tc>
      </w:tr>
      <w:tr w:rsidR="00AA1441" w:rsidRPr="0022392F" w14:paraId="5C0A54B8" w14:textId="77777777" w:rsidTr="00E3137E">
        <w:trPr>
          <w:trHeight w:val="280"/>
        </w:trPr>
        <w:tc>
          <w:tcPr>
            <w:tcW w:w="1129" w:type="dxa"/>
            <w:tcBorders>
              <w:top w:val="single" w:sz="4" w:space="0" w:color="auto"/>
              <w:left w:val="single" w:sz="4" w:space="0" w:color="auto"/>
              <w:bottom w:val="single" w:sz="4" w:space="0" w:color="auto"/>
              <w:right w:val="single" w:sz="4" w:space="0" w:color="auto"/>
            </w:tcBorders>
            <w:shd w:val="clear" w:color="auto" w:fill="E7E6E6" w:themeFill="background2"/>
          </w:tcPr>
          <w:p w14:paraId="0779E4F8" w14:textId="2E08CE5C" w:rsidR="00AA1441" w:rsidRPr="0022392F" w:rsidRDefault="00AA1441" w:rsidP="008C1F23">
            <w:pPr>
              <w:pStyle w:val="Default"/>
              <w:spacing w:after="60"/>
              <w:rPr>
                <w:rFonts w:asciiTheme="minorHAnsi" w:hAnsiTheme="minorHAnsi" w:cstheme="minorBidi"/>
                <w:i/>
                <w:color w:val="auto"/>
                <w:sz w:val="20"/>
                <w:szCs w:val="20"/>
              </w:rPr>
            </w:pPr>
            <w:r w:rsidRPr="0022392F">
              <w:rPr>
                <w:rFonts w:asciiTheme="minorHAnsi" w:hAnsiTheme="minorHAnsi" w:cstheme="minorBidi"/>
                <w:i/>
                <w:color w:val="auto"/>
                <w:sz w:val="20"/>
                <w:szCs w:val="20"/>
              </w:rPr>
              <w:t>An</w:t>
            </w:r>
            <w:r w:rsidR="0056774E">
              <w:rPr>
                <w:rFonts w:asciiTheme="minorHAnsi" w:hAnsiTheme="minorHAnsi" w:cstheme="minorBidi"/>
                <w:i/>
                <w:color w:val="auto"/>
                <w:sz w:val="20"/>
                <w:szCs w:val="20"/>
              </w:rPr>
              <w:t>nex</w:t>
            </w:r>
            <w:r w:rsidRPr="0022392F">
              <w:rPr>
                <w:rFonts w:asciiTheme="minorHAnsi" w:hAnsiTheme="minorHAnsi" w:cstheme="minorBidi"/>
                <w:i/>
                <w:color w:val="auto"/>
                <w:sz w:val="20"/>
                <w:szCs w:val="20"/>
              </w:rPr>
              <w:t xml:space="preserve"> </w:t>
            </w:r>
            <w:r w:rsidR="00263AF3" w:rsidRPr="0022392F">
              <w:rPr>
                <w:rFonts w:asciiTheme="minorHAnsi" w:hAnsiTheme="minorHAnsi" w:cstheme="minorBidi"/>
                <w:i/>
                <w:color w:val="auto"/>
                <w:sz w:val="20"/>
                <w:szCs w:val="20"/>
              </w:rPr>
              <w:t>I</w:t>
            </w:r>
            <w:r w:rsidRPr="0022392F">
              <w:rPr>
                <w:rFonts w:asciiTheme="minorHAnsi" w:hAnsiTheme="minorHAnsi" w:cstheme="minorBidi"/>
                <w:i/>
                <w:color w:val="auto"/>
                <w:sz w:val="20"/>
                <w:szCs w:val="20"/>
              </w:rPr>
              <w:t xml:space="preserve"> </w:t>
            </w:r>
            <w:r w:rsidR="0056774E">
              <w:rPr>
                <w:rFonts w:asciiTheme="minorHAnsi" w:hAnsiTheme="minorHAnsi" w:cstheme="minorBidi"/>
                <w:i/>
                <w:color w:val="auto"/>
                <w:sz w:val="20"/>
                <w:szCs w:val="20"/>
              </w:rPr>
              <w:t>Chapter</w:t>
            </w:r>
            <w:r w:rsidRPr="0022392F">
              <w:rPr>
                <w:rFonts w:asciiTheme="minorHAnsi" w:hAnsiTheme="minorHAnsi" w:cstheme="minorBidi"/>
                <w:i/>
                <w:color w:val="auto"/>
                <w:sz w:val="20"/>
                <w:szCs w:val="20"/>
              </w:rPr>
              <w:t xml:space="preserve"> 2</w:t>
            </w:r>
          </w:p>
        </w:tc>
        <w:tc>
          <w:tcPr>
            <w:tcW w:w="7655" w:type="dxa"/>
            <w:tcBorders>
              <w:top w:val="single" w:sz="4" w:space="0" w:color="auto"/>
              <w:left w:val="single" w:sz="4" w:space="0" w:color="auto"/>
              <w:bottom w:val="single" w:sz="4" w:space="0" w:color="auto"/>
              <w:right w:val="single" w:sz="4" w:space="0" w:color="auto"/>
            </w:tcBorders>
            <w:shd w:val="clear" w:color="auto" w:fill="E7E6E6" w:themeFill="background2"/>
          </w:tcPr>
          <w:p w14:paraId="6A51B7F0" w14:textId="77777777" w:rsidR="00AA1441" w:rsidRPr="0022392F" w:rsidRDefault="00AA1441" w:rsidP="008C1F23">
            <w:pPr>
              <w:pStyle w:val="Default"/>
              <w:spacing w:after="60"/>
              <w:rPr>
                <w:rFonts w:asciiTheme="minorHAnsi" w:hAnsiTheme="minorHAnsi" w:cstheme="minorBidi"/>
                <w:i/>
                <w:color w:val="auto"/>
                <w:sz w:val="20"/>
                <w:szCs w:val="20"/>
              </w:rPr>
            </w:pPr>
          </w:p>
        </w:tc>
      </w:tr>
      <w:tr w:rsidR="00AA1441" w:rsidRPr="00D57BC0" w14:paraId="2A1F8742" w14:textId="77777777" w:rsidTr="00E3137E">
        <w:trPr>
          <w:trHeight w:val="618"/>
        </w:trPr>
        <w:tc>
          <w:tcPr>
            <w:tcW w:w="1129" w:type="dxa"/>
            <w:tcBorders>
              <w:top w:val="single" w:sz="4" w:space="0" w:color="auto"/>
              <w:left w:val="single" w:sz="4" w:space="0" w:color="auto"/>
              <w:bottom w:val="single" w:sz="4" w:space="0" w:color="auto"/>
              <w:right w:val="single" w:sz="4" w:space="0" w:color="auto"/>
            </w:tcBorders>
          </w:tcPr>
          <w:p w14:paraId="1360EB37" w14:textId="04E3A728" w:rsidR="00AA1441" w:rsidRPr="0022392F" w:rsidRDefault="0056774E" w:rsidP="008C1F23">
            <w:pPr>
              <w:pStyle w:val="Default"/>
              <w:spacing w:after="60"/>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AA1441" w:rsidRPr="0022392F">
              <w:rPr>
                <w:rFonts w:asciiTheme="minorHAnsi" w:hAnsiTheme="minorHAnsi" w:cstheme="minorBidi"/>
                <w:i/>
                <w:color w:val="auto"/>
                <w:sz w:val="20"/>
                <w:szCs w:val="20"/>
              </w:rPr>
              <w:t xml:space="preserve"> 10.1</w:t>
            </w:r>
          </w:p>
        </w:tc>
        <w:tc>
          <w:tcPr>
            <w:tcW w:w="7655" w:type="dxa"/>
            <w:tcBorders>
              <w:top w:val="single" w:sz="4" w:space="0" w:color="auto"/>
              <w:left w:val="single" w:sz="4" w:space="0" w:color="auto"/>
              <w:bottom w:val="single" w:sz="4" w:space="0" w:color="auto"/>
              <w:right w:val="single" w:sz="4" w:space="0" w:color="auto"/>
            </w:tcBorders>
            <w:shd w:val="clear" w:color="auto" w:fill="auto"/>
            <w:hideMark/>
          </w:tcPr>
          <w:p w14:paraId="082C64B1" w14:textId="19B78E9C" w:rsidR="00AA1441" w:rsidRPr="0097068B" w:rsidRDefault="0056774E" w:rsidP="008C1F23">
            <w:pPr>
              <w:pStyle w:val="Default"/>
              <w:spacing w:after="60"/>
              <w:rPr>
                <w:rFonts w:asciiTheme="minorHAnsi" w:hAnsiTheme="minorHAnsi" w:cstheme="minorBidi"/>
                <w:i/>
                <w:iCs/>
                <w:color w:val="auto"/>
                <w:sz w:val="20"/>
                <w:szCs w:val="20"/>
              </w:rPr>
            </w:pPr>
            <w:r w:rsidRPr="0097068B">
              <w:rPr>
                <w:rFonts w:asciiTheme="minorHAnsi" w:hAnsiTheme="minorHAnsi" w:cstheme="minorBidi"/>
                <w:i/>
                <w:iCs/>
                <w:color w:val="auto"/>
                <w:sz w:val="20"/>
                <w:szCs w:val="20"/>
              </w:rPr>
              <w:t xml:space="preserve">Devices shall be designed and manufactured in such a way as to ensure that the characteristics and performance requirements referred to in Chapter I are fulfilled. </w:t>
            </w:r>
          </w:p>
        </w:tc>
      </w:tr>
      <w:tr w:rsidR="00AA1441" w:rsidRPr="00D57BC0" w14:paraId="5FA436D8" w14:textId="77777777" w:rsidTr="00E3137E">
        <w:trPr>
          <w:trHeight w:val="58"/>
        </w:trPr>
        <w:tc>
          <w:tcPr>
            <w:tcW w:w="1129" w:type="dxa"/>
            <w:tcBorders>
              <w:top w:val="nil"/>
              <w:left w:val="single" w:sz="4" w:space="0" w:color="auto"/>
              <w:bottom w:val="single" w:sz="4" w:space="0" w:color="auto"/>
              <w:right w:val="single" w:sz="4" w:space="0" w:color="auto"/>
            </w:tcBorders>
          </w:tcPr>
          <w:p w14:paraId="1694C838" w14:textId="77777777" w:rsidR="00AA1441" w:rsidRPr="0022392F" w:rsidRDefault="00AA1441" w:rsidP="008C1F23">
            <w:pPr>
              <w:pStyle w:val="Default"/>
              <w:spacing w:after="60"/>
              <w:jc w:val="right"/>
              <w:rPr>
                <w:rFonts w:asciiTheme="minorHAnsi" w:hAnsiTheme="minorHAnsi" w:cstheme="minorBidi"/>
                <w:i/>
                <w:color w:val="auto"/>
                <w:sz w:val="20"/>
                <w:szCs w:val="20"/>
              </w:rPr>
            </w:pPr>
          </w:p>
        </w:tc>
        <w:tc>
          <w:tcPr>
            <w:tcW w:w="7655" w:type="dxa"/>
            <w:tcBorders>
              <w:top w:val="nil"/>
              <w:left w:val="single" w:sz="4" w:space="0" w:color="auto"/>
              <w:bottom w:val="single" w:sz="4" w:space="0" w:color="auto"/>
              <w:right w:val="single" w:sz="4" w:space="0" w:color="auto"/>
            </w:tcBorders>
            <w:shd w:val="clear" w:color="auto" w:fill="auto"/>
          </w:tcPr>
          <w:p w14:paraId="64D1CCA1" w14:textId="6FC504B8" w:rsidR="00AA1441" w:rsidRPr="0097068B" w:rsidRDefault="0056774E" w:rsidP="008C1F23">
            <w:pPr>
              <w:pStyle w:val="Default"/>
              <w:spacing w:after="60"/>
              <w:rPr>
                <w:rFonts w:asciiTheme="minorHAnsi" w:hAnsiTheme="minorHAnsi" w:cstheme="minorBidi"/>
                <w:i/>
                <w:iCs/>
                <w:color w:val="auto"/>
                <w:sz w:val="20"/>
                <w:szCs w:val="20"/>
              </w:rPr>
            </w:pPr>
            <w:r w:rsidRPr="0097068B">
              <w:rPr>
                <w:rFonts w:asciiTheme="minorHAnsi" w:hAnsiTheme="minorHAnsi" w:cstheme="minorBidi"/>
                <w:i/>
                <w:iCs/>
                <w:color w:val="auto"/>
                <w:sz w:val="20"/>
                <w:szCs w:val="20"/>
              </w:rPr>
              <w:t xml:space="preserve">Particular attention shall be paid to the possibility of impairment of analytical performance due to physical and/or chemical incompatibility between the materials used and the specimens and/or the measurand or marker to be detected (such as biological tissue, cells, body fluids and micro-organisms), taking account of the intended purpose of the device. </w:t>
            </w:r>
          </w:p>
        </w:tc>
      </w:tr>
      <w:tr w:rsidR="00AA1441" w:rsidRPr="00D57BC0" w14:paraId="546F433E" w14:textId="77777777" w:rsidTr="00E3137E">
        <w:trPr>
          <w:trHeight w:val="282"/>
        </w:trPr>
        <w:tc>
          <w:tcPr>
            <w:tcW w:w="1129" w:type="dxa"/>
            <w:tcBorders>
              <w:top w:val="nil"/>
              <w:left w:val="single" w:sz="4" w:space="0" w:color="auto"/>
              <w:bottom w:val="single" w:sz="4" w:space="0" w:color="auto"/>
              <w:right w:val="single" w:sz="4" w:space="0" w:color="auto"/>
            </w:tcBorders>
          </w:tcPr>
          <w:p w14:paraId="39D8EE10" w14:textId="5232E04A" w:rsidR="00AA1441" w:rsidRPr="0022392F" w:rsidRDefault="0056774E" w:rsidP="008C1F23">
            <w:pPr>
              <w:pStyle w:val="Default"/>
              <w:spacing w:after="60"/>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AA1441" w:rsidRPr="0022392F">
              <w:rPr>
                <w:rFonts w:asciiTheme="minorHAnsi" w:hAnsiTheme="minorHAnsi" w:cstheme="minorBidi"/>
                <w:i/>
                <w:color w:val="auto"/>
                <w:sz w:val="20"/>
                <w:szCs w:val="20"/>
              </w:rPr>
              <w:t xml:space="preserve"> 13.1</w:t>
            </w:r>
          </w:p>
        </w:tc>
        <w:tc>
          <w:tcPr>
            <w:tcW w:w="7655" w:type="dxa"/>
            <w:tcBorders>
              <w:top w:val="nil"/>
              <w:left w:val="single" w:sz="4" w:space="0" w:color="auto"/>
              <w:bottom w:val="single" w:sz="4" w:space="0" w:color="auto"/>
              <w:right w:val="single" w:sz="4" w:space="0" w:color="auto"/>
            </w:tcBorders>
            <w:shd w:val="clear" w:color="auto" w:fill="auto"/>
          </w:tcPr>
          <w:p w14:paraId="52319D60" w14:textId="7ECE4B28" w:rsidR="00AA1441" w:rsidRPr="0097068B" w:rsidRDefault="0056774E" w:rsidP="008C1F23">
            <w:pPr>
              <w:pStyle w:val="Default"/>
              <w:spacing w:after="60"/>
              <w:rPr>
                <w:rFonts w:asciiTheme="minorHAnsi" w:hAnsiTheme="minorHAnsi" w:cstheme="minorBidi"/>
                <w:i/>
                <w:iCs/>
                <w:color w:val="auto"/>
                <w:sz w:val="20"/>
                <w:szCs w:val="20"/>
              </w:rPr>
            </w:pPr>
            <w:r w:rsidRPr="0097068B">
              <w:rPr>
                <w:rFonts w:asciiTheme="minorHAnsi" w:hAnsiTheme="minorHAnsi" w:cstheme="minorBidi"/>
                <w:i/>
                <w:iCs/>
                <w:color w:val="auto"/>
                <w:sz w:val="20"/>
                <w:szCs w:val="20"/>
              </w:rPr>
              <w:t>If the device is intended for use in combination with other devices or equipment, the whole combination, including the connection system, shall be safe and shall not impair the specified performance of the devices. Any restrictions on use applying to such combinations shall be indicated on the label and/or in the instructions for use.</w:t>
            </w:r>
            <w:r w:rsidR="0097068B" w:rsidRPr="0097068B">
              <w:rPr>
                <w:rFonts w:asciiTheme="minorHAnsi" w:hAnsiTheme="minorHAnsi" w:cstheme="minorBidi"/>
                <w:i/>
                <w:iCs/>
                <w:color w:val="auto"/>
                <w:sz w:val="20"/>
                <w:szCs w:val="20"/>
              </w:rPr>
              <w:t xml:space="preserve"> </w:t>
            </w:r>
          </w:p>
        </w:tc>
      </w:tr>
      <w:tr w:rsidR="00AA1441" w:rsidRPr="00D57BC0" w14:paraId="07CF397D" w14:textId="77777777" w:rsidTr="00E3137E">
        <w:trPr>
          <w:trHeight w:val="282"/>
        </w:trPr>
        <w:tc>
          <w:tcPr>
            <w:tcW w:w="1129" w:type="dxa"/>
            <w:tcBorders>
              <w:top w:val="single" w:sz="4" w:space="0" w:color="auto"/>
              <w:left w:val="single" w:sz="4" w:space="0" w:color="auto"/>
              <w:bottom w:val="single" w:sz="4" w:space="0" w:color="auto"/>
              <w:right w:val="single" w:sz="4" w:space="0" w:color="auto"/>
            </w:tcBorders>
          </w:tcPr>
          <w:p w14:paraId="4B73736B" w14:textId="13630549" w:rsidR="00AA1441" w:rsidRPr="0022392F" w:rsidRDefault="0097068B" w:rsidP="008C1F23">
            <w:pPr>
              <w:pStyle w:val="Default"/>
              <w:spacing w:after="60"/>
              <w:rPr>
                <w:rFonts w:asciiTheme="minorHAnsi" w:hAnsiTheme="minorHAnsi" w:cstheme="minorBidi"/>
                <w:i/>
                <w:color w:val="auto"/>
                <w:sz w:val="20"/>
                <w:szCs w:val="20"/>
              </w:rPr>
            </w:pPr>
            <w:r>
              <w:rPr>
                <w:rFonts w:asciiTheme="minorHAnsi" w:hAnsiTheme="minorHAnsi" w:cstheme="minorBidi"/>
                <w:i/>
                <w:color w:val="auto"/>
                <w:sz w:val="20"/>
                <w:szCs w:val="20"/>
              </w:rPr>
              <w:t>Section</w:t>
            </w:r>
            <w:r w:rsidR="00AA1441" w:rsidRPr="0022392F">
              <w:rPr>
                <w:rFonts w:asciiTheme="minorHAnsi" w:hAnsiTheme="minorHAnsi" w:cstheme="minorBidi"/>
                <w:i/>
                <w:color w:val="auto"/>
                <w:sz w:val="20"/>
                <w:szCs w:val="20"/>
              </w:rPr>
              <w:t xml:space="preserve"> 14.1</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71FBE2B" w14:textId="5B979C15" w:rsidR="00AA1441" w:rsidRPr="0097068B" w:rsidRDefault="0097068B" w:rsidP="008C1F23">
            <w:pPr>
              <w:pStyle w:val="Default"/>
              <w:spacing w:after="60"/>
              <w:rPr>
                <w:rFonts w:asciiTheme="minorHAnsi" w:hAnsiTheme="minorHAnsi" w:cstheme="minorBidi"/>
                <w:i/>
                <w:iCs/>
                <w:color w:val="auto"/>
                <w:sz w:val="20"/>
                <w:szCs w:val="20"/>
              </w:rPr>
            </w:pPr>
            <w:r w:rsidRPr="0097068B">
              <w:rPr>
                <w:rFonts w:asciiTheme="minorHAnsi" w:hAnsiTheme="minorHAnsi" w:cstheme="minorBidi"/>
                <w:i/>
                <w:iCs/>
                <w:color w:val="auto"/>
                <w:sz w:val="20"/>
                <w:szCs w:val="20"/>
              </w:rPr>
              <w:t xml:space="preserve">Devices having a primary analytical measuring function shall be designed and manufactured in such a way as to provide appropriate analytical performance in accordance with Annex I, Section 9.1, point a, </w:t>
            </w:r>
            <w:proofErr w:type="gramStart"/>
            <w:r w:rsidRPr="0097068B">
              <w:rPr>
                <w:rFonts w:asciiTheme="minorHAnsi" w:hAnsiTheme="minorHAnsi" w:cstheme="minorBidi"/>
                <w:i/>
                <w:iCs/>
                <w:color w:val="auto"/>
                <w:sz w:val="20"/>
                <w:szCs w:val="20"/>
              </w:rPr>
              <w:t>taking into account</w:t>
            </w:r>
            <w:proofErr w:type="gramEnd"/>
            <w:r w:rsidRPr="0097068B">
              <w:rPr>
                <w:rFonts w:asciiTheme="minorHAnsi" w:hAnsiTheme="minorHAnsi" w:cstheme="minorBidi"/>
                <w:i/>
                <w:iCs/>
                <w:color w:val="auto"/>
                <w:sz w:val="20"/>
                <w:szCs w:val="20"/>
              </w:rPr>
              <w:t xml:space="preserve"> the intended purpose of the device. </w:t>
            </w:r>
          </w:p>
        </w:tc>
      </w:tr>
    </w:tbl>
    <w:p w14:paraId="191206D5" w14:textId="77777777" w:rsidR="00AA1441" w:rsidRPr="0022392F" w:rsidRDefault="00AA1441" w:rsidP="0041718F">
      <w:pPr>
        <w:jc w:val="both"/>
        <w:rPr>
          <w:lang w:val="en-GB"/>
        </w:rPr>
      </w:pPr>
    </w:p>
    <w:p w14:paraId="1D80880E" w14:textId="013D6804" w:rsidR="00AA1441" w:rsidRPr="0022392F" w:rsidRDefault="0097068B" w:rsidP="00AA1441">
      <w:pPr>
        <w:jc w:val="both"/>
        <w:rPr>
          <w:lang w:val="en-GB"/>
        </w:rPr>
      </w:pPr>
      <w:r>
        <w:rPr>
          <w:lang w:val="en-GB"/>
        </w:rPr>
        <w:t>Section 20.4 of</w:t>
      </w:r>
      <w:r w:rsidRPr="0097068B">
        <w:rPr>
          <w:lang w:val="en-GB"/>
        </w:rPr>
        <w:t xml:space="preserve"> Annex 1, Chapter 3</w:t>
      </w:r>
      <w:r>
        <w:rPr>
          <w:lang w:val="en-GB"/>
        </w:rPr>
        <w:t xml:space="preserve"> </w:t>
      </w:r>
      <w:r w:rsidR="005B447D">
        <w:rPr>
          <w:lang w:val="en-GB"/>
        </w:rPr>
        <w:t>outlines</w:t>
      </w:r>
      <w:r w:rsidRPr="0097068B">
        <w:rPr>
          <w:lang w:val="en-GB"/>
        </w:rPr>
        <w:t xml:space="preserve"> the information </w:t>
      </w:r>
      <w:r>
        <w:rPr>
          <w:lang w:val="en-GB"/>
        </w:rPr>
        <w:t>required for</w:t>
      </w:r>
      <w:r w:rsidRPr="0097068B">
        <w:rPr>
          <w:lang w:val="en-GB"/>
        </w:rPr>
        <w:t xml:space="preserve"> the performance evaluation in the instructions for use (corresponding standard operating procedures are </w:t>
      </w:r>
      <w:r w:rsidR="005B447D">
        <w:rPr>
          <w:lang w:val="en-GB"/>
        </w:rPr>
        <w:t xml:space="preserve">generally </w:t>
      </w:r>
      <w:r w:rsidR="00692566">
        <w:rPr>
          <w:lang w:val="en-GB"/>
        </w:rPr>
        <w:t>regarded</w:t>
      </w:r>
      <w:r w:rsidRPr="0097068B">
        <w:rPr>
          <w:lang w:val="en-GB"/>
        </w:rPr>
        <w:t xml:space="preserve"> here for IH-IVDs). </w:t>
      </w:r>
    </w:p>
    <w:p w14:paraId="22642888" w14:textId="325350E9" w:rsidR="00CC6DBF" w:rsidRPr="0022392F" w:rsidRDefault="00CC6DBF" w:rsidP="00CC6DBF">
      <w:pPr>
        <w:pStyle w:val="Beschriftung"/>
        <w:rPr>
          <w:lang w:val="en-GB"/>
        </w:rPr>
      </w:pPr>
      <w:bookmarkStart w:id="9" w:name="_Ref80617825"/>
      <w:r w:rsidRPr="0022392F">
        <w:rPr>
          <w:lang w:val="en-GB"/>
        </w:rPr>
        <w:t xml:space="preserve">Table </w:t>
      </w:r>
      <w:r w:rsidR="00D20606" w:rsidRPr="0022392F">
        <w:rPr>
          <w:noProof/>
          <w:lang w:val="en-GB"/>
        </w:rPr>
        <w:fldChar w:fldCharType="begin"/>
      </w:r>
      <w:r w:rsidR="00D20606" w:rsidRPr="0022392F">
        <w:rPr>
          <w:noProof/>
          <w:lang w:val="en-GB"/>
        </w:rPr>
        <w:instrText xml:space="preserve"> SEQ Tabelle \* ARABIC </w:instrText>
      </w:r>
      <w:r w:rsidR="00D20606" w:rsidRPr="0022392F">
        <w:rPr>
          <w:noProof/>
          <w:lang w:val="en-GB"/>
        </w:rPr>
        <w:fldChar w:fldCharType="separate"/>
      </w:r>
      <w:r w:rsidR="00C97FD1" w:rsidRPr="0022392F">
        <w:rPr>
          <w:noProof/>
          <w:lang w:val="en-GB"/>
        </w:rPr>
        <w:t>7</w:t>
      </w:r>
      <w:r w:rsidR="00D20606" w:rsidRPr="0022392F">
        <w:rPr>
          <w:noProof/>
          <w:lang w:val="en-GB"/>
        </w:rPr>
        <w:fldChar w:fldCharType="end"/>
      </w:r>
      <w:bookmarkEnd w:id="9"/>
      <w:r w:rsidRPr="0022392F">
        <w:rPr>
          <w:lang w:val="en-GB"/>
        </w:rPr>
        <w:t xml:space="preserve"> IVDR - An</w:t>
      </w:r>
      <w:r w:rsidR="005B447D">
        <w:rPr>
          <w:lang w:val="en-GB"/>
        </w:rPr>
        <w:t>nex</w:t>
      </w:r>
      <w:r w:rsidRPr="0022392F">
        <w:rPr>
          <w:lang w:val="en-GB"/>
        </w:rPr>
        <w:t xml:space="preserve"> I, </w:t>
      </w:r>
      <w:r w:rsidR="005B447D">
        <w:rPr>
          <w:lang w:val="en-GB"/>
        </w:rPr>
        <w:t>Chapter</w:t>
      </w:r>
      <w:r w:rsidRPr="0022392F">
        <w:rPr>
          <w:lang w:val="en-GB"/>
        </w:rPr>
        <w:t xml:space="preserve"> </w:t>
      </w:r>
      <w:r w:rsidR="00FF7D17">
        <w:rPr>
          <w:lang w:val="en-GB"/>
        </w:rPr>
        <w:t>3</w:t>
      </w:r>
      <w:r w:rsidRPr="0022392F">
        <w:rPr>
          <w:lang w:val="en-GB"/>
        </w:rPr>
        <w:t xml:space="preserve">, </w:t>
      </w:r>
      <w:r w:rsidR="005B447D">
        <w:rPr>
          <w:lang w:val="en-GB"/>
        </w:rPr>
        <w:t>Section</w:t>
      </w:r>
      <w:r w:rsidRPr="0022392F">
        <w:rPr>
          <w:lang w:val="en-GB"/>
        </w:rPr>
        <w:t xml:space="preserve"> 20</w:t>
      </w:r>
      <w:r w:rsidR="00DF53FB">
        <w:rPr>
          <w:lang w:val="en-GB"/>
        </w:rPr>
        <w:t>.4.1</w:t>
      </w:r>
      <w:r w:rsidRPr="0022392F">
        <w:rPr>
          <w:lang w:val="en-GB"/>
        </w:rPr>
        <w:t xml:space="preserve"> </w:t>
      </w:r>
      <w:r w:rsidR="005B447D">
        <w:rPr>
          <w:lang w:val="en-GB"/>
        </w:rPr>
        <w:t>of the</w:t>
      </w:r>
      <w:r w:rsidRPr="0022392F">
        <w:rPr>
          <w:lang w:val="en-GB"/>
        </w:rPr>
        <w:t xml:space="preserve"> IVDR </w:t>
      </w:r>
    </w:p>
    <w:tbl>
      <w:tblPr>
        <w:tblW w:w="9072" w:type="dxa"/>
        <w:tblInd w:w="-5" w:type="dxa"/>
        <w:tblLook w:val="04A0" w:firstRow="1" w:lastRow="0" w:firstColumn="1" w:lastColumn="0" w:noHBand="0" w:noVBand="1"/>
      </w:tblPr>
      <w:tblGrid>
        <w:gridCol w:w="1276"/>
        <w:gridCol w:w="7796"/>
      </w:tblGrid>
      <w:tr w:rsidR="00CC6DBF" w:rsidRPr="0022392F" w14:paraId="29B257A3" w14:textId="77777777" w:rsidTr="00D84F32">
        <w:trPr>
          <w:trHeight w:val="318"/>
        </w:trPr>
        <w:tc>
          <w:tcPr>
            <w:tcW w:w="90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7739F47" w14:textId="77777777" w:rsidR="00CC6DBF" w:rsidRPr="0022392F" w:rsidRDefault="00CC6DBF" w:rsidP="00D84F32">
            <w:pPr>
              <w:pStyle w:val="Default"/>
              <w:spacing w:after="60"/>
              <w:jc w:val="both"/>
              <w:rPr>
                <w:rFonts w:asciiTheme="minorHAnsi" w:hAnsiTheme="minorHAnsi" w:cstheme="minorBidi"/>
                <w:b/>
                <w:bCs/>
                <w:iCs/>
                <w:color w:val="auto"/>
                <w:sz w:val="20"/>
                <w:szCs w:val="20"/>
              </w:rPr>
            </w:pPr>
            <w:r w:rsidRPr="0022392F">
              <w:rPr>
                <w:rFonts w:asciiTheme="minorHAnsi" w:hAnsiTheme="minorHAnsi" w:cstheme="minorBidi"/>
                <w:b/>
                <w:bCs/>
                <w:iCs/>
                <w:color w:val="auto"/>
                <w:sz w:val="20"/>
                <w:szCs w:val="20"/>
              </w:rPr>
              <w:t>IVDR</w:t>
            </w:r>
          </w:p>
        </w:tc>
      </w:tr>
      <w:tr w:rsidR="00CC6DBF" w:rsidRPr="0022392F" w14:paraId="4DD5A23E" w14:textId="77777777" w:rsidTr="00D84F32">
        <w:trPr>
          <w:trHeight w:val="280"/>
        </w:trPr>
        <w:tc>
          <w:tcPr>
            <w:tcW w:w="9072"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9D8D0F9" w14:textId="23981C08" w:rsidR="00CC6DBF" w:rsidRPr="0022392F" w:rsidRDefault="00CC6DBF" w:rsidP="00D84F32">
            <w:pPr>
              <w:pStyle w:val="Default"/>
              <w:spacing w:after="60"/>
              <w:jc w:val="both"/>
              <w:rPr>
                <w:rFonts w:asciiTheme="minorHAnsi" w:hAnsiTheme="minorHAnsi" w:cstheme="minorBidi"/>
                <w:iCs/>
                <w:color w:val="auto"/>
                <w:sz w:val="20"/>
                <w:szCs w:val="20"/>
              </w:rPr>
            </w:pPr>
            <w:r w:rsidRPr="0022392F">
              <w:rPr>
                <w:rFonts w:asciiTheme="minorHAnsi" w:hAnsiTheme="minorHAnsi" w:cstheme="minorBidi"/>
                <w:iCs/>
                <w:color w:val="auto"/>
                <w:sz w:val="20"/>
                <w:szCs w:val="20"/>
              </w:rPr>
              <w:t>An</w:t>
            </w:r>
            <w:r w:rsidR="005B447D">
              <w:rPr>
                <w:rFonts w:asciiTheme="minorHAnsi" w:hAnsiTheme="minorHAnsi" w:cstheme="minorBidi"/>
                <w:iCs/>
                <w:color w:val="auto"/>
                <w:sz w:val="20"/>
                <w:szCs w:val="20"/>
              </w:rPr>
              <w:t>nex</w:t>
            </w:r>
            <w:r w:rsidRPr="0022392F">
              <w:rPr>
                <w:rFonts w:asciiTheme="minorHAnsi" w:hAnsiTheme="minorHAnsi" w:cstheme="minorBidi"/>
                <w:iCs/>
                <w:color w:val="auto"/>
                <w:sz w:val="20"/>
                <w:szCs w:val="20"/>
              </w:rPr>
              <w:t xml:space="preserve"> I </w:t>
            </w:r>
            <w:r w:rsidR="005B447D">
              <w:rPr>
                <w:rFonts w:asciiTheme="minorHAnsi" w:hAnsiTheme="minorHAnsi" w:cstheme="minorBidi"/>
                <w:iCs/>
                <w:color w:val="auto"/>
                <w:sz w:val="20"/>
                <w:szCs w:val="20"/>
              </w:rPr>
              <w:t>Chapter</w:t>
            </w:r>
            <w:r w:rsidRPr="0022392F">
              <w:rPr>
                <w:rFonts w:asciiTheme="minorHAnsi" w:hAnsiTheme="minorHAnsi" w:cstheme="minorBidi"/>
                <w:color w:val="auto"/>
                <w:sz w:val="20"/>
                <w:szCs w:val="20"/>
              </w:rPr>
              <w:t xml:space="preserve"> 3 </w:t>
            </w:r>
            <w:r w:rsidR="005B447D">
              <w:rPr>
                <w:rFonts w:asciiTheme="minorHAnsi" w:hAnsiTheme="minorHAnsi" w:cstheme="minorBidi"/>
                <w:color w:val="auto"/>
                <w:sz w:val="20"/>
                <w:szCs w:val="20"/>
              </w:rPr>
              <w:t>Section</w:t>
            </w:r>
            <w:r w:rsidRPr="0022392F">
              <w:rPr>
                <w:rFonts w:asciiTheme="minorHAnsi" w:hAnsiTheme="minorHAnsi" w:cstheme="minorBidi"/>
                <w:color w:val="auto"/>
                <w:sz w:val="20"/>
                <w:szCs w:val="20"/>
              </w:rPr>
              <w:t xml:space="preserve"> 20.4</w:t>
            </w:r>
            <w:r w:rsidR="00DF53FB">
              <w:rPr>
                <w:rFonts w:asciiTheme="minorHAnsi" w:hAnsiTheme="minorHAnsi" w:cstheme="minorBidi"/>
                <w:color w:val="auto"/>
                <w:sz w:val="20"/>
                <w:szCs w:val="20"/>
              </w:rPr>
              <w:t>.1</w:t>
            </w:r>
          </w:p>
        </w:tc>
      </w:tr>
      <w:tr w:rsidR="00CC6DBF" w:rsidRPr="00D57BC0" w14:paraId="047A3845" w14:textId="77777777" w:rsidTr="00C959EF">
        <w:trPr>
          <w:trHeight w:val="284"/>
        </w:trPr>
        <w:tc>
          <w:tcPr>
            <w:tcW w:w="1276" w:type="dxa"/>
            <w:tcBorders>
              <w:top w:val="single" w:sz="4" w:space="0" w:color="auto"/>
              <w:left w:val="single" w:sz="4" w:space="0" w:color="auto"/>
              <w:bottom w:val="single" w:sz="4" w:space="0" w:color="auto"/>
              <w:right w:val="single" w:sz="4" w:space="0" w:color="auto"/>
            </w:tcBorders>
          </w:tcPr>
          <w:p w14:paraId="17BE10CC" w14:textId="769B254B" w:rsidR="00CC6DBF" w:rsidRPr="0022392F" w:rsidRDefault="005B447D" w:rsidP="00D84F32">
            <w:pPr>
              <w:pStyle w:val="Default"/>
              <w:spacing w:after="60"/>
              <w:rPr>
                <w:rFonts w:asciiTheme="minorHAnsi" w:hAnsiTheme="minorHAnsi" w:cstheme="minorBidi"/>
                <w:i/>
                <w:iCs/>
                <w:color w:val="auto"/>
                <w:sz w:val="20"/>
                <w:szCs w:val="20"/>
              </w:rPr>
            </w:pPr>
            <w:r>
              <w:rPr>
                <w:rFonts w:asciiTheme="minorHAnsi" w:hAnsiTheme="minorHAnsi" w:cstheme="minorBidi"/>
                <w:i/>
                <w:iCs/>
                <w:color w:val="auto"/>
                <w:sz w:val="20"/>
                <w:szCs w:val="20"/>
              </w:rPr>
              <w:t>Section</w:t>
            </w:r>
            <w:r w:rsidR="00CC6DBF" w:rsidRPr="0022392F">
              <w:rPr>
                <w:rFonts w:asciiTheme="minorHAnsi" w:hAnsiTheme="minorHAnsi" w:cstheme="minorBidi"/>
                <w:i/>
                <w:iCs/>
                <w:color w:val="auto"/>
                <w:sz w:val="20"/>
                <w:szCs w:val="20"/>
              </w:rPr>
              <w:t xml:space="preserve"> 20.4.1</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997ED5F" w14:textId="024CCE17" w:rsidR="00CC6DBF" w:rsidRPr="005B447D" w:rsidRDefault="005B447D" w:rsidP="00CC6DBF">
            <w:pPr>
              <w:rPr>
                <w:i/>
                <w:iCs/>
                <w:sz w:val="20"/>
                <w:szCs w:val="20"/>
                <w:lang w:val="en-GB"/>
              </w:rPr>
            </w:pPr>
            <w:r w:rsidRPr="005B447D">
              <w:rPr>
                <w:i/>
                <w:iCs/>
                <w:sz w:val="20"/>
                <w:szCs w:val="20"/>
                <w:lang w:val="en-GB"/>
              </w:rPr>
              <w:t xml:space="preserve">The instructions for use shall contain the following information: </w:t>
            </w:r>
          </w:p>
        </w:tc>
      </w:tr>
      <w:tr w:rsidR="00CC6DBF" w:rsidRPr="00D57BC0" w14:paraId="17F2676C" w14:textId="77777777" w:rsidTr="00C959EF">
        <w:trPr>
          <w:trHeight w:val="284"/>
        </w:trPr>
        <w:tc>
          <w:tcPr>
            <w:tcW w:w="1276" w:type="dxa"/>
            <w:tcBorders>
              <w:top w:val="single" w:sz="4" w:space="0" w:color="auto"/>
              <w:left w:val="single" w:sz="4" w:space="0" w:color="auto"/>
              <w:bottom w:val="single" w:sz="4" w:space="0" w:color="auto"/>
              <w:right w:val="single" w:sz="4" w:space="0" w:color="auto"/>
            </w:tcBorders>
          </w:tcPr>
          <w:p w14:paraId="64861F07" w14:textId="50D4E13E" w:rsidR="00CC6DBF" w:rsidRPr="0022392F" w:rsidRDefault="00CC6DBF" w:rsidP="00520AB9">
            <w:pPr>
              <w:pStyle w:val="Default"/>
              <w:spacing w:after="60"/>
              <w:rPr>
                <w:rFonts w:asciiTheme="minorHAnsi" w:hAnsiTheme="minorHAnsi" w:cstheme="minorBidi"/>
                <w:i/>
                <w:iCs/>
                <w:color w:val="auto"/>
                <w:sz w:val="20"/>
                <w:szCs w:val="20"/>
              </w:rPr>
            </w:pPr>
            <w:r w:rsidRPr="0022392F">
              <w:rPr>
                <w:rFonts w:asciiTheme="minorHAnsi" w:hAnsiTheme="minorHAnsi" w:cstheme="minorBidi"/>
                <w:i/>
                <w:iCs/>
                <w:color w:val="auto"/>
                <w:sz w:val="20"/>
                <w:szCs w:val="20"/>
              </w:rPr>
              <w:t>w</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08614DCD" w14:textId="526831D6" w:rsidR="00CC6DBF" w:rsidRPr="0022392F" w:rsidRDefault="005B447D" w:rsidP="00D84F32">
            <w:pPr>
              <w:rPr>
                <w:i/>
                <w:iCs/>
                <w:sz w:val="20"/>
                <w:szCs w:val="20"/>
                <w:lang w:val="en-GB"/>
              </w:rPr>
            </w:pPr>
            <w:r w:rsidRPr="005B447D">
              <w:rPr>
                <w:i/>
                <w:iCs/>
                <w:sz w:val="20"/>
                <w:szCs w:val="20"/>
                <w:lang w:val="en-GB"/>
              </w:rPr>
              <w:t xml:space="preserve">analytical performance characteristics, such as analytical sensitivity, analytical specificity, trueness (bias), precision (repeatability and reproducibility), accuracy (resulting from trueness and precision), limits of detection and measurement range, (information needed for the control of known relevant interferences, cross-reactions and limitations of the method), measuring range, linearity and information about the use of available reference measurement procedures and materials by the user; </w:t>
            </w:r>
          </w:p>
        </w:tc>
      </w:tr>
      <w:tr w:rsidR="00CC6DBF" w:rsidRPr="00D57BC0" w14:paraId="303E7DE2" w14:textId="77777777" w:rsidTr="00C959EF">
        <w:trPr>
          <w:trHeight w:val="284"/>
        </w:trPr>
        <w:tc>
          <w:tcPr>
            <w:tcW w:w="1276" w:type="dxa"/>
            <w:tcBorders>
              <w:top w:val="single" w:sz="4" w:space="0" w:color="auto"/>
              <w:left w:val="single" w:sz="4" w:space="0" w:color="auto"/>
              <w:bottom w:val="single" w:sz="4" w:space="0" w:color="auto"/>
              <w:right w:val="single" w:sz="4" w:space="0" w:color="auto"/>
            </w:tcBorders>
          </w:tcPr>
          <w:p w14:paraId="31E6630A" w14:textId="31335226" w:rsidR="00CC6DBF" w:rsidRPr="0022392F" w:rsidRDefault="00CC6DBF" w:rsidP="00D84F32">
            <w:pPr>
              <w:pStyle w:val="Default"/>
              <w:spacing w:after="60"/>
              <w:rPr>
                <w:rFonts w:asciiTheme="minorHAnsi" w:hAnsiTheme="minorHAnsi" w:cstheme="minorBidi"/>
                <w:i/>
                <w:iCs/>
                <w:color w:val="auto"/>
                <w:sz w:val="20"/>
                <w:szCs w:val="20"/>
              </w:rPr>
            </w:pPr>
            <w:r w:rsidRPr="0022392F">
              <w:rPr>
                <w:rFonts w:asciiTheme="minorHAnsi" w:hAnsiTheme="minorHAnsi" w:cstheme="minorBidi"/>
                <w:i/>
                <w:iCs/>
                <w:color w:val="auto"/>
                <w:sz w:val="20"/>
                <w:szCs w:val="20"/>
              </w:rPr>
              <w:t>x</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6E724142" w14:textId="5C94BBE2" w:rsidR="00CC6DBF" w:rsidRPr="0022392F" w:rsidRDefault="005B447D" w:rsidP="00D84F32">
            <w:pPr>
              <w:rPr>
                <w:i/>
                <w:iCs/>
                <w:sz w:val="20"/>
                <w:szCs w:val="20"/>
                <w:lang w:val="en-GB"/>
              </w:rPr>
            </w:pPr>
            <w:r w:rsidRPr="005B447D">
              <w:rPr>
                <w:i/>
                <w:iCs/>
                <w:sz w:val="20"/>
                <w:szCs w:val="20"/>
                <w:lang w:val="en-GB"/>
              </w:rPr>
              <w:t>clinical performance characteristics as defined in Section 9.1 of this Annex;</w:t>
            </w:r>
          </w:p>
        </w:tc>
      </w:tr>
      <w:tr w:rsidR="00CC6DBF" w:rsidRPr="00D57BC0" w14:paraId="7E68AC13" w14:textId="77777777" w:rsidTr="00C959EF">
        <w:trPr>
          <w:trHeight w:val="284"/>
        </w:trPr>
        <w:tc>
          <w:tcPr>
            <w:tcW w:w="1276" w:type="dxa"/>
            <w:tcBorders>
              <w:top w:val="single" w:sz="4" w:space="0" w:color="auto"/>
              <w:left w:val="single" w:sz="4" w:space="0" w:color="auto"/>
              <w:bottom w:val="single" w:sz="4" w:space="0" w:color="auto"/>
              <w:right w:val="single" w:sz="4" w:space="0" w:color="auto"/>
            </w:tcBorders>
          </w:tcPr>
          <w:p w14:paraId="1A645278" w14:textId="2442A67B" w:rsidR="00CC6DBF" w:rsidRPr="0022392F" w:rsidRDefault="00CC6DBF" w:rsidP="00D84F32">
            <w:pPr>
              <w:pStyle w:val="Default"/>
              <w:spacing w:after="60"/>
              <w:rPr>
                <w:rFonts w:asciiTheme="minorHAnsi" w:hAnsiTheme="minorHAnsi" w:cstheme="minorBidi"/>
                <w:i/>
                <w:iCs/>
                <w:color w:val="auto"/>
                <w:sz w:val="20"/>
                <w:szCs w:val="20"/>
              </w:rPr>
            </w:pPr>
            <w:r w:rsidRPr="0022392F">
              <w:rPr>
                <w:rFonts w:asciiTheme="minorHAnsi" w:hAnsiTheme="minorHAnsi" w:cstheme="minorBidi"/>
                <w:i/>
                <w:iCs/>
                <w:color w:val="auto"/>
                <w:sz w:val="20"/>
                <w:szCs w:val="20"/>
              </w:rPr>
              <w:t>z</w:t>
            </w:r>
          </w:p>
        </w:tc>
        <w:tc>
          <w:tcPr>
            <w:tcW w:w="7796" w:type="dxa"/>
            <w:tcBorders>
              <w:top w:val="single" w:sz="4" w:space="0" w:color="auto"/>
              <w:left w:val="single" w:sz="4" w:space="0" w:color="auto"/>
              <w:bottom w:val="single" w:sz="4" w:space="0" w:color="auto"/>
              <w:right w:val="single" w:sz="4" w:space="0" w:color="auto"/>
            </w:tcBorders>
            <w:shd w:val="clear" w:color="auto" w:fill="auto"/>
          </w:tcPr>
          <w:p w14:paraId="15BC9339" w14:textId="261EDE8B" w:rsidR="00CC6DBF" w:rsidRPr="0022392F" w:rsidRDefault="005B447D" w:rsidP="00D84F32">
            <w:pPr>
              <w:rPr>
                <w:i/>
                <w:iCs/>
                <w:sz w:val="20"/>
                <w:szCs w:val="20"/>
                <w:lang w:val="en-GB"/>
              </w:rPr>
            </w:pPr>
            <w:r w:rsidRPr="005B447D">
              <w:rPr>
                <w:i/>
                <w:iCs/>
                <w:sz w:val="20"/>
                <w:szCs w:val="20"/>
                <w:lang w:val="en-GB"/>
              </w:rPr>
              <w:t xml:space="preserve">where relevant, clinical performance characteristics, such as threshold value, diagnostic sensitivity and diagnostic specificity, positive and negative predictive value; </w:t>
            </w:r>
          </w:p>
        </w:tc>
      </w:tr>
    </w:tbl>
    <w:p w14:paraId="594C4F6D" w14:textId="77777777" w:rsidR="00E3137E" w:rsidRPr="0022392F" w:rsidRDefault="00E3137E" w:rsidP="00604EA1">
      <w:pPr>
        <w:jc w:val="both"/>
        <w:rPr>
          <w:lang w:val="en-GB"/>
        </w:rPr>
      </w:pPr>
    </w:p>
    <w:p w14:paraId="6F86E13B" w14:textId="2039F8F5" w:rsidR="004C602B" w:rsidRPr="0022392F" w:rsidRDefault="00BF0E02" w:rsidP="00E3137E">
      <w:pPr>
        <w:jc w:val="both"/>
        <w:rPr>
          <w:lang w:val="en-GB"/>
        </w:rPr>
      </w:pPr>
      <w:r w:rsidRPr="00BF0E02">
        <w:rPr>
          <w:lang w:val="en-GB"/>
        </w:rPr>
        <w:t xml:space="preserve">Furthermore, the IVDR does not specify the form of </w:t>
      </w:r>
      <w:r w:rsidR="00DF53FB" w:rsidRPr="00BF0E02">
        <w:rPr>
          <w:lang w:val="en-GB"/>
        </w:rPr>
        <w:t xml:space="preserve">performance evaluation </w:t>
      </w:r>
      <w:r w:rsidRPr="00BF0E02">
        <w:rPr>
          <w:lang w:val="en-GB"/>
        </w:rPr>
        <w:t xml:space="preserve">documentation. Here, too, Annex XIII can </w:t>
      </w:r>
      <w:r>
        <w:rPr>
          <w:lang w:val="en-GB"/>
        </w:rPr>
        <w:t>serve as</w:t>
      </w:r>
      <w:r w:rsidRPr="00BF0E02">
        <w:rPr>
          <w:lang w:val="en-GB"/>
        </w:rPr>
        <w:t xml:space="preserve"> </w:t>
      </w:r>
      <w:r w:rsidR="00692566">
        <w:rPr>
          <w:lang w:val="en-GB"/>
        </w:rPr>
        <w:t xml:space="preserve">a </w:t>
      </w:r>
      <w:r w:rsidRPr="00BF0E02">
        <w:rPr>
          <w:lang w:val="en-GB"/>
        </w:rPr>
        <w:t>good guide.</w:t>
      </w:r>
      <w:r>
        <w:rPr>
          <w:lang w:val="en-GB"/>
        </w:rPr>
        <w:t xml:space="preserve"> </w:t>
      </w:r>
    </w:p>
    <w:sectPr w:rsidR="004C602B" w:rsidRPr="0022392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able Sprachschule" w:date="2021-12-17T09:35:00Z" w:initials="aS">
    <w:p w14:paraId="15C9E0F0" w14:textId="77777777" w:rsidR="00100B68" w:rsidRDefault="00100B68" w:rsidP="00100B68">
      <w:pPr>
        <w:pStyle w:val="Kommentartext"/>
      </w:pPr>
      <w:r>
        <w:rPr>
          <w:rStyle w:val="Kommentarzeichen"/>
        </w:rPr>
        <w:annotationRef/>
      </w:r>
      <w:r>
        <w:t>Soll der Text unter Spalte 3 Likelihood ratio?</w:t>
      </w:r>
    </w:p>
  </w:comment>
  <w:comment w:id="6" w:author="Isabel Dombrink" w:date="2022-01-03T11:11:00Z" w:initials="ID">
    <w:p w14:paraId="7CC70C02" w14:textId="00CFD859" w:rsidR="00100B68" w:rsidRDefault="00100B68" w:rsidP="00100B68">
      <w:pPr>
        <w:pStyle w:val="Kommentartext"/>
      </w:pPr>
      <w:r>
        <w:rPr>
          <w:rStyle w:val="Kommentarzeichen"/>
        </w:rPr>
        <w:annotationRef/>
      </w:r>
      <w:r>
        <w:t>Hatte es erst bewusst einzel, aber da ich keine separate Definition dazu habe, könnte man es integrieren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C9E0F0" w15:done="0"/>
  <w15:commentEx w15:paraId="7CC70C02" w15:paraIdParent="15C9E0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6D877" w16cex:dateUtc="2021-12-17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9E0F0" w16cid:durableId="257D58A4"/>
  <w16cid:commentId w16cid:paraId="7CC70C02" w16cid:durableId="257D58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69B9B" w14:textId="77777777" w:rsidR="008D4195" w:rsidRDefault="008D4195" w:rsidP="00427F02">
      <w:pPr>
        <w:spacing w:after="0" w:line="240" w:lineRule="auto"/>
      </w:pPr>
      <w:r>
        <w:separator/>
      </w:r>
    </w:p>
  </w:endnote>
  <w:endnote w:type="continuationSeparator" w:id="0">
    <w:p w14:paraId="2A0541A6" w14:textId="77777777" w:rsidR="008D4195" w:rsidRDefault="008D4195" w:rsidP="0042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5672A" w14:textId="77777777" w:rsidR="00944FDE" w:rsidRDefault="00944F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AF04" w14:textId="50EC40EA" w:rsidR="00427F02" w:rsidRDefault="00427F02" w:rsidP="00427F02">
    <w:pPr>
      <w:pStyle w:val="Kopfzeile"/>
    </w:pPr>
    <w:r>
      <w:t xml:space="preserve">I. Dombrink, A. Teubert, T. </w:t>
    </w:r>
    <w:proofErr w:type="spellStart"/>
    <w:r>
      <w:t>Eggermann</w:t>
    </w:r>
    <w:proofErr w:type="spellEnd"/>
    <w:r>
      <w:ptab w:relativeTo="margin" w:alignment="center" w:leader="none"/>
    </w:r>
    <w:r>
      <w:ptab w:relativeTo="margin" w:alignment="right" w:leader="none"/>
    </w:r>
    <w:r>
      <w:t>28</w:t>
    </w:r>
    <w:r w:rsidR="00511DEC">
      <w:t xml:space="preserve"> September </w:t>
    </w:r>
    <w:r>
      <w:t>2021 - 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15E85" w14:textId="77777777" w:rsidR="00944FDE" w:rsidRDefault="00944F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AAD04" w14:textId="77777777" w:rsidR="008D4195" w:rsidRDefault="008D4195" w:rsidP="00427F02">
      <w:pPr>
        <w:spacing w:after="0" w:line="240" w:lineRule="auto"/>
      </w:pPr>
      <w:r>
        <w:separator/>
      </w:r>
    </w:p>
  </w:footnote>
  <w:footnote w:type="continuationSeparator" w:id="0">
    <w:p w14:paraId="49ED2431" w14:textId="77777777" w:rsidR="008D4195" w:rsidRDefault="008D4195" w:rsidP="00427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DAA9" w14:textId="77777777" w:rsidR="00944FDE" w:rsidRDefault="00944F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7CA4" w14:textId="05FC81E0" w:rsidR="00427F02" w:rsidRPr="0022392F" w:rsidRDefault="0022392F" w:rsidP="00427F02">
    <w:pPr>
      <w:jc w:val="both"/>
      <w:rPr>
        <w:b/>
        <w:lang w:val="en-GB"/>
      </w:rPr>
    </w:pPr>
    <w:bookmarkStart w:id="10" w:name="_Hlk86651980"/>
    <w:bookmarkStart w:id="11" w:name="_Hlk86651981"/>
    <w:r w:rsidRPr="0022392F">
      <w:rPr>
        <w:b/>
        <w:lang w:val="en-GB"/>
      </w:rPr>
      <w:t xml:space="preserve">Guidance on </w:t>
    </w:r>
    <w:r>
      <w:rPr>
        <w:b/>
        <w:lang w:val="en-GB"/>
      </w:rPr>
      <w:t>“Performance Evaluation</w:t>
    </w:r>
    <w:r w:rsidR="00E450B1">
      <w:rPr>
        <w:b/>
        <w:lang w:val="en-GB"/>
      </w:rPr>
      <w:t>” from</w:t>
    </w:r>
    <w:r>
      <w:rPr>
        <w:b/>
        <w:lang w:val="en-GB"/>
      </w:rPr>
      <w:t xml:space="preserve"> the AWMF’s Ad Hoc </w:t>
    </w:r>
    <w:r w:rsidR="00CD144C">
      <w:rPr>
        <w:b/>
        <w:lang w:val="en-GB"/>
      </w:rPr>
      <w:t>C</w:t>
    </w:r>
    <w:r>
      <w:rPr>
        <w:b/>
        <w:lang w:val="en-GB"/>
      </w:rPr>
      <w:t xml:space="preserve">ommission IVD </w:t>
    </w:r>
    <w:bookmarkEnd w:id="1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ED755" w14:textId="77777777" w:rsidR="00944FDE" w:rsidRDefault="00944F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315"/>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3D5158"/>
    <w:multiLevelType w:val="hybridMultilevel"/>
    <w:tmpl w:val="B9B63038"/>
    <w:lvl w:ilvl="0" w:tplc="200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E362F9"/>
    <w:multiLevelType w:val="hybridMultilevel"/>
    <w:tmpl w:val="E5407022"/>
    <w:lvl w:ilvl="0" w:tplc="9A065C7E">
      <w:start w:val="1"/>
      <w:numFmt w:val="lowerLetter"/>
      <w:lvlText w:val="%1)"/>
      <w:lvlJc w:val="left"/>
      <w:pPr>
        <w:ind w:left="708" w:hanging="708"/>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F503D8"/>
    <w:multiLevelType w:val="hybridMultilevel"/>
    <w:tmpl w:val="20F0DC3C"/>
    <w:lvl w:ilvl="0" w:tplc="563A5FC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5212AC"/>
    <w:multiLevelType w:val="hybridMultilevel"/>
    <w:tmpl w:val="00645544"/>
    <w:lvl w:ilvl="0" w:tplc="2000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4725FB"/>
    <w:multiLevelType w:val="multilevel"/>
    <w:tmpl w:val="525051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065A91"/>
    <w:multiLevelType w:val="hybridMultilevel"/>
    <w:tmpl w:val="9A7CF51A"/>
    <w:lvl w:ilvl="0" w:tplc="FAD20A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115777"/>
    <w:multiLevelType w:val="hybridMultilevel"/>
    <w:tmpl w:val="88E41C96"/>
    <w:lvl w:ilvl="0" w:tplc="C2A001B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9B02F4"/>
    <w:multiLevelType w:val="hybridMultilevel"/>
    <w:tmpl w:val="957642C2"/>
    <w:lvl w:ilvl="0" w:tplc="F14C71DC">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414708DF"/>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D54B23"/>
    <w:multiLevelType w:val="hybridMultilevel"/>
    <w:tmpl w:val="A7F872DC"/>
    <w:lvl w:ilvl="0" w:tplc="200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6345B0"/>
    <w:multiLevelType w:val="multilevel"/>
    <w:tmpl w:val="B4D61400"/>
    <w:lvl w:ilvl="0">
      <w:start w:val="1"/>
      <w:numFmt w:val="decimal"/>
      <w:pStyle w:val="ID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DE27303"/>
    <w:multiLevelType w:val="hybridMultilevel"/>
    <w:tmpl w:val="03F402F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2A10678"/>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3E352A1"/>
    <w:multiLevelType w:val="hybridMultilevel"/>
    <w:tmpl w:val="7CA2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16EC7"/>
    <w:multiLevelType w:val="hybridMultilevel"/>
    <w:tmpl w:val="B59A5090"/>
    <w:lvl w:ilvl="0" w:tplc="42A871C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59F6316"/>
    <w:multiLevelType w:val="hybridMultilevel"/>
    <w:tmpl w:val="39CA8024"/>
    <w:lvl w:ilvl="0" w:tplc="D2549CEA">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D755E8"/>
    <w:multiLevelType w:val="hybridMultilevel"/>
    <w:tmpl w:val="CA466A48"/>
    <w:lvl w:ilvl="0" w:tplc="200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D022B"/>
    <w:multiLevelType w:val="multilevel"/>
    <w:tmpl w:val="2000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E707B8E"/>
    <w:multiLevelType w:val="hybridMultilevel"/>
    <w:tmpl w:val="CCA2FF14"/>
    <w:lvl w:ilvl="0" w:tplc="8AA8E820">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7E42B52"/>
    <w:multiLevelType w:val="hybridMultilevel"/>
    <w:tmpl w:val="67C0AF4E"/>
    <w:lvl w:ilvl="0" w:tplc="CE98391C">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15:restartNumberingAfterBreak="0">
    <w:nsid w:val="77F6683B"/>
    <w:multiLevelType w:val="hybridMultilevel"/>
    <w:tmpl w:val="C332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B5166A"/>
    <w:multiLevelType w:val="hybridMultilevel"/>
    <w:tmpl w:val="4C5A8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9"/>
  </w:num>
  <w:num w:numId="5">
    <w:abstractNumId w:val="8"/>
  </w:num>
  <w:num w:numId="6">
    <w:abstractNumId w:val="17"/>
  </w:num>
  <w:num w:numId="7">
    <w:abstractNumId w:val="22"/>
  </w:num>
  <w:num w:numId="8">
    <w:abstractNumId w:val="10"/>
  </w:num>
  <w:num w:numId="9">
    <w:abstractNumId w:val="14"/>
  </w:num>
  <w:num w:numId="10">
    <w:abstractNumId w:val="21"/>
  </w:num>
  <w:num w:numId="11">
    <w:abstractNumId w:val="6"/>
  </w:num>
  <w:num w:numId="12">
    <w:abstractNumId w:val="9"/>
  </w:num>
  <w:num w:numId="13">
    <w:abstractNumId w:val="5"/>
  </w:num>
  <w:num w:numId="14">
    <w:abstractNumId w:val="0"/>
  </w:num>
  <w:num w:numId="15">
    <w:abstractNumId w:val="11"/>
  </w:num>
  <w:num w:numId="16">
    <w:abstractNumId w:val="11"/>
  </w:num>
  <w:num w:numId="17">
    <w:abstractNumId w:val="11"/>
  </w:num>
  <w:num w:numId="18">
    <w:abstractNumId w:val="13"/>
  </w:num>
  <w:num w:numId="19">
    <w:abstractNumId w:val="18"/>
  </w:num>
  <w:num w:numId="20">
    <w:abstractNumId w:val="1"/>
  </w:num>
  <w:num w:numId="21">
    <w:abstractNumId w:val="3"/>
  </w:num>
  <w:num w:numId="22">
    <w:abstractNumId w:val="16"/>
  </w:num>
  <w:num w:numId="23">
    <w:abstractNumId w:val="7"/>
  </w:num>
  <w:num w:numId="24">
    <w:abstractNumId w:val="2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le Sprachschule">
    <w15:presenceInfo w15:providerId="Windows Live" w15:userId="f68c19215dfef76a"/>
  </w15:person>
  <w15:person w15:author="Isabel Dombrink">
    <w15:presenceInfo w15:providerId="AD" w15:userId="S-1-5-21-394445616-1779768223-1105519910-13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75"/>
    <w:rsid w:val="00000EB8"/>
    <w:rsid w:val="00026B8C"/>
    <w:rsid w:val="00041205"/>
    <w:rsid w:val="00043B38"/>
    <w:rsid w:val="0004775A"/>
    <w:rsid w:val="000521B7"/>
    <w:rsid w:val="00057F99"/>
    <w:rsid w:val="00066FCA"/>
    <w:rsid w:val="00085BBC"/>
    <w:rsid w:val="00085DF4"/>
    <w:rsid w:val="000912C3"/>
    <w:rsid w:val="000A0D15"/>
    <w:rsid w:val="000A1058"/>
    <w:rsid w:val="000B16D5"/>
    <w:rsid w:val="000B1FE4"/>
    <w:rsid w:val="000C291A"/>
    <w:rsid w:val="000C42A5"/>
    <w:rsid w:val="000C5308"/>
    <w:rsid w:val="000D7002"/>
    <w:rsid w:val="000E7068"/>
    <w:rsid w:val="000F21F7"/>
    <w:rsid w:val="000F2568"/>
    <w:rsid w:val="000F5232"/>
    <w:rsid w:val="00100407"/>
    <w:rsid w:val="00100B68"/>
    <w:rsid w:val="00102CE9"/>
    <w:rsid w:val="00123C24"/>
    <w:rsid w:val="00124F63"/>
    <w:rsid w:val="001274F0"/>
    <w:rsid w:val="00132FFB"/>
    <w:rsid w:val="00140B94"/>
    <w:rsid w:val="00141B28"/>
    <w:rsid w:val="0014226F"/>
    <w:rsid w:val="00144D37"/>
    <w:rsid w:val="0015132A"/>
    <w:rsid w:val="001513F3"/>
    <w:rsid w:val="001533CB"/>
    <w:rsid w:val="001571CA"/>
    <w:rsid w:val="00163A91"/>
    <w:rsid w:val="001646AF"/>
    <w:rsid w:val="00165EBD"/>
    <w:rsid w:val="00167460"/>
    <w:rsid w:val="00167BA4"/>
    <w:rsid w:val="001728E7"/>
    <w:rsid w:val="00175A62"/>
    <w:rsid w:val="00180324"/>
    <w:rsid w:val="001856AA"/>
    <w:rsid w:val="0018612E"/>
    <w:rsid w:val="00186636"/>
    <w:rsid w:val="00190D76"/>
    <w:rsid w:val="001931B8"/>
    <w:rsid w:val="00195AD7"/>
    <w:rsid w:val="00197F95"/>
    <w:rsid w:val="001A0D0B"/>
    <w:rsid w:val="001A7EFD"/>
    <w:rsid w:val="001B1A3B"/>
    <w:rsid w:val="001B1CEA"/>
    <w:rsid w:val="001B642C"/>
    <w:rsid w:val="001B726C"/>
    <w:rsid w:val="001C0947"/>
    <w:rsid w:val="001C0C27"/>
    <w:rsid w:val="001C49CC"/>
    <w:rsid w:val="001C684D"/>
    <w:rsid w:val="001E03FF"/>
    <w:rsid w:val="001E12E9"/>
    <w:rsid w:val="001E4904"/>
    <w:rsid w:val="001F3D6B"/>
    <w:rsid w:val="00213192"/>
    <w:rsid w:val="002153E5"/>
    <w:rsid w:val="00221493"/>
    <w:rsid w:val="00222ACC"/>
    <w:rsid w:val="0022392F"/>
    <w:rsid w:val="002257EF"/>
    <w:rsid w:val="0023002C"/>
    <w:rsid w:val="00247307"/>
    <w:rsid w:val="002507F5"/>
    <w:rsid w:val="00253B20"/>
    <w:rsid w:val="00260839"/>
    <w:rsid w:val="002614D9"/>
    <w:rsid w:val="002627E8"/>
    <w:rsid w:val="00263AF3"/>
    <w:rsid w:val="00272D7A"/>
    <w:rsid w:val="00283E63"/>
    <w:rsid w:val="00285A7E"/>
    <w:rsid w:val="0028772E"/>
    <w:rsid w:val="00287C56"/>
    <w:rsid w:val="00294AFB"/>
    <w:rsid w:val="00294F1C"/>
    <w:rsid w:val="00296DAE"/>
    <w:rsid w:val="00297DDC"/>
    <w:rsid w:val="002A11D6"/>
    <w:rsid w:val="002A44F1"/>
    <w:rsid w:val="002A738C"/>
    <w:rsid w:val="002B0ABD"/>
    <w:rsid w:val="002C6275"/>
    <w:rsid w:val="002D37E7"/>
    <w:rsid w:val="002D6264"/>
    <w:rsid w:val="002D62A4"/>
    <w:rsid w:val="002D75FD"/>
    <w:rsid w:val="002E2A90"/>
    <w:rsid w:val="002E55D2"/>
    <w:rsid w:val="002E565F"/>
    <w:rsid w:val="002E7A76"/>
    <w:rsid w:val="002F2AAA"/>
    <w:rsid w:val="00305474"/>
    <w:rsid w:val="00306137"/>
    <w:rsid w:val="003164EA"/>
    <w:rsid w:val="00322CC2"/>
    <w:rsid w:val="0033333C"/>
    <w:rsid w:val="003345EB"/>
    <w:rsid w:val="003626FF"/>
    <w:rsid w:val="003B192B"/>
    <w:rsid w:val="003B1D45"/>
    <w:rsid w:val="003C64CB"/>
    <w:rsid w:val="003C72C3"/>
    <w:rsid w:val="003E697C"/>
    <w:rsid w:val="003F29D1"/>
    <w:rsid w:val="00400681"/>
    <w:rsid w:val="004054B3"/>
    <w:rsid w:val="0041718F"/>
    <w:rsid w:val="004173D9"/>
    <w:rsid w:val="00423DD3"/>
    <w:rsid w:val="00427F02"/>
    <w:rsid w:val="00432742"/>
    <w:rsid w:val="004345F3"/>
    <w:rsid w:val="004370EE"/>
    <w:rsid w:val="00454296"/>
    <w:rsid w:val="00457710"/>
    <w:rsid w:val="00466113"/>
    <w:rsid w:val="00482BE7"/>
    <w:rsid w:val="0048404A"/>
    <w:rsid w:val="00496A91"/>
    <w:rsid w:val="004A4D0C"/>
    <w:rsid w:val="004A668A"/>
    <w:rsid w:val="004B4C10"/>
    <w:rsid w:val="004B6E09"/>
    <w:rsid w:val="004C4496"/>
    <w:rsid w:val="004C602B"/>
    <w:rsid w:val="004D03B0"/>
    <w:rsid w:val="004D1540"/>
    <w:rsid w:val="004D4A07"/>
    <w:rsid w:val="004E03F6"/>
    <w:rsid w:val="004E26DB"/>
    <w:rsid w:val="004F5FD9"/>
    <w:rsid w:val="004F62B9"/>
    <w:rsid w:val="00500F55"/>
    <w:rsid w:val="005062AB"/>
    <w:rsid w:val="005111AD"/>
    <w:rsid w:val="00511DEC"/>
    <w:rsid w:val="00512470"/>
    <w:rsid w:val="0051645E"/>
    <w:rsid w:val="005172EE"/>
    <w:rsid w:val="005201FC"/>
    <w:rsid w:val="00520AB9"/>
    <w:rsid w:val="00521675"/>
    <w:rsid w:val="0053435F"/>
    <w:rsid w:val="00542279"/>
    <w:rsid w:val="00542748"/>
    <w:rsid w:val="00545A82"/>
    <w:rsid w:val="00553489"/>
    <w:rsid w:val="00554AD7"/>
    <w:rsid w:val="0056025D"/>
    <w:rsid w:val="00561F1D"/>
    <w:rsid w:val="00565C4F"/>
    <w:rsid w:val="0056774E"/>
    <w:rsid w:val="00567F3D"/>
    <w:rsid w:val="00583AE5"/>
    <w:rsid w:val="00586EC3"/>
    <w:rsid w:val="005912D7"/>
    <w:rsid w:val="005915C7"/>
    <w:rsid w:val="005A0AEA"/>
    <w:rsid w:val="005A622A"/>
    <w:rsid w:val="005A7877"/>
    <w:rsid w:val="005B2A01"/>
    <w:rsid w:val="005B447D"/>
    <w:rsid w:val="005B6CC9"/>
    <w:rsid w:val="005B6F1C"/>
    <w:rsid w:val="005C05CA"/>
    <w:rsid w:val="005C2F17"/>
    <w:rsid w:val="005C6631"/>
    <w:rsid w:val="005D3C36"/>
    <w:rsid w:val="005E36DB"/>
    <w:rsid w:val="005E3A06"/>
    <w:rsid w:val="00604EA1"/>
    <w:rsid w:val="00607CD7"/>
    <w:rsid w:val="0062699C"/>
    <w:rsid w:val="00636B61"/>
    <w:rsid w:val="006514BA"/>
    <w:rsid w:val="006525DE"/>
    <w:rsid w:val="00660D6A"/>
    <w:rsid w:val="006670F0"/>
    <w:rsid w:val="006835B8"/>
    <w:rsid w:val="006855B4"/>
    <w:rsid w:val="00685747"/>
    <w:rsid w:val="00692566"/>
    <w:rsid w:val="00692B6D"/>
    <w:rsid w:val="006A0252"/>
    <w:rsid w:val="006B7A64"/>
    <w:rsid w:val="006B7D09"/>
    <w:rsid w:val="006C09AA"/>
    <w:rsid w:val="006C0CDD"/>
    <w:rsid w:val="006C1BDB"/>
    <w:rsid w:val="006D7A56"/>
    <w:rsid w:val="006E7E20"/>
    <w:rsid w:val="006F5011"/>
    <w:rsid w:val="006F55F8"/>
    <w:rsid w:val="006F7683"/>
    <w:rsid w:val="00701CAD"/>
    <w:rsid w:val="00703E8F"/>
    <w:rsid w:val="00712F97"/>
    <w:rsid w:val="007267C7"/>
    <w:rsid w:val="0073155D"/>
    <w:rsid w:val="00737BFA"/>
    <w:rsid w:val="00740B91"/>
    <w:rsid w:val="00741FB3"/>
    <w:rsid w:val="00746D10"/>
    <w:rsid w:val="0074749C"/>
    <w:rsid w:val="007562E0"/>
    <w:rsid w:val="00772DA9"/>
    <w:rsid w:val="00776F4D"/>
    <w:rsid w:val="00780987"/>
    <w:rsid w:val="00780CF2"/>
    <w:rsid w:val="00791C99"/>
    <w:rsid w:val="00792AE3"/>
    <w:rsid w:val="007A586B"/>
    <w:rsid w:val="007B4B20"/>
    <w:rsid w:val="007C14E2"/>
    <w:rsid w:val="007C1C91"/>
    <w:rsid w:val="007D1080"/>
    <w:rsid w:val="007D1889"/>
    <w:rsid w:val="007D2A62"/>
    <w:rsid w:val="007D4458"/>
    <w:rsid w:val="007E523E"/>
    <w:rsid w:val="007F3191"/>
    <w:rsid w:val="007F518D"/>
    <w:rsid w:val="007F74A8"/>
    <w:rsid w:val="007F7A3E"/>
    <w:rsid w:val="008067EF"/>
    <w:rsid w:val="00810F27"/>
    <w:rsid w:val="00813903"/>
    <w:rsid w:val="00820C2F"/>
    <w:rsid w:val="00821724"/>
    <w:rsid w:val="0082193C"/>
    <w:rsid w:val="00822E5E"/>
    <w:rsid w:val="008355F3"/>
    <w:rsid w:val="00836B2E"/>
    <w:rsid w:val="00837EF1"/>
    <w:rsid w:val="00840722"/>
    <w:rsid w:val="00841A5A"/>
    <w:rsid w:val="00841E97"/>
    <w:rsid w:val="00844F04"/>
    <w:rsid w:val="00846634"/>
    <w:rsid w:val="0085442F"/>
    <w:rsid w:val="00860AEA"/>
    <w:rsid w:val="00862611"/>
    <w:rsid w:val="00866790"/>
    <w:rsid w:val="008704AC"/>
    <w:rsid w:val="008874F5"/>
    <w:rsid w:val="008A4589"/>
    <w:rsid w:val="008B345C"/>
    <w:rsid w:val="008C0F37"/>
    <w:rsid w:val="008C1794"/>
    <w:rsid w:val="008C624A"/>
    <w:rsid w:val="008D04B4"/>
    <w:rsid w:val="008D4195"/>
    <w:rsid w:val="008D6EF7"/>
    <w:rsid w:val="008E1E64"/>
    <w:rsid w:val="008E3088"/>
    <w:rsid w:val="00905464"/>
    <w:rsid w:val="00911C02"/>
    <w:rsid w:val="009160F6"/>
    <w:rsid w:val="00917091"/>
    <w:rsid w:val="009230A6"/>
    <w:rsid w:val="009263A2"/>
    <w:rsid w:val="0094170F"/>
    <w:rsid w:val="00944FDE"/>
    <w:rsid w:val="0095078C"/>
    <w:rsid w:val="009577F4"/>
    <w:rsid w:val="00957D63"/>
    <w:rsid w:val="009609F0"/>
    <w:rsid w:val="00961E27"/>
    <w:rsid w:val="0097068B"/>
    <w:rsid w:val="009814F7"/>
    <w:rsid w:val="00983981"/>
    <w:rsid w:val="00986F2C"/>
    <w:rsid w:val="00997A8F"/>
    <w:rsid w:val="009A43FA"/>
    <w:rsid w:val="009A602A"/>
    <w:rsid w:val="009B2475"/>
    <w:rsid w:val="009C23DE"/>
    <w:rsid w:val="009C3D9F"/>
    <w:rsid w:val="009D19DA"/>
    <w:rsid w:val="009E030B"/>
    <w:rsid w:val="009E44F1"/>
    <w:rsid w:val="009F2927"/>
    <w:rsid w:val="009F3A24"/>
    <w:rsid w:val="009F6F9F"/>
    <w:rsid w:val="009F747C"/>
    <w:rsid w:val="00A00822"/>
    <w:rsid w:val="00A01091"/>
    <w:rsid w:val="00A02FC9"/>
    <w:rsid w:val="00A07769"/>
    <w:rsid w:val="00A103E5"/>
    <w:rsid w:val="00A15C0A"/>
    <w:rsid w:val="00A2290B"/>
    <w:rsid w:val="00A2293F"/>
    <w:rsid w:val="00A6066A"/>
    <w:rsid w:val="00A70541"/>
    <w:rsid w:val="00A97241"/>
    <w:rsid w:val="00AA13A2"/>
    <w:rsid w:val="00AA1441"/>
    <w:rsid w:val="00AA2F91"/>
    <w:rsid w:val="00AA44FB"/>
    <w:rsid w:val="00AC0FBD"/>
    <w:rsid w:val="00AC1B85"/>
    <w:rsid w:val="00AD76BC"/>
    <w:rsid w:val="00AE13F6"/>
    <w:rsid w:val="00AE1EB9"/>
    <w:rsid w:val="00AE30A6"/>
    <w:rsid w:val="00AE74A0"/>
    <w:rsid w:val="00B037BB"/>
    <w:rsid w:val="00B05A62"/>
    <w:rsid w:val="00B05DFD"/>
    <w:rsid w:val="00B11D8B"/>
    <w:rsid w:val="00B23A02"/>
    <w:rsid w:val="00B31472"/>
    <w:rsid w:val="00B32547"/>
    <w:rsid w:val="00B329C1"/>
    <w:rsid w:val="00B44E17"/>
    <w:rsid w:val="00B6749D"/>
    <w:rsid w:val="00B71163"/>
    <w:rsid w:val="00B85EFB"/>
    <w:rsid w:val="00B91F3F"/>
    <w:rsid w:val="00BA329B"/>
    <w:rsid w:val="00BA32E3"/>
    <w:rsid w:val="00BA5099"/>
    <w:rsid w:val="00BA7E21"/>
    <w:rsid w:val="00BB37A6"/>
    <w:rsid w:val="00BB5336"/>
    <w:rsid w:val="00BB677D"/>
    <w:rsid w:val="00BD327B"/>
    <w:rsid w:val="00BD5846"/>
    <w:rsid w:val="00BE356C"/>
    <w:rsid w:val="00BE412E"/>
    <w:rsid w:val="00BF0E02"/>
    <w:rsid w:val="00BF5874"/>
    <w:rsid w:val="00C04B76"/>
    <w:rsid w:val="00C12404"/>
    <w:rsid w:val="00C13916"/>
    <w:rsid w:val="00C209F5"/>
    <w:rsid w:val="00C226A0"/>
    <w:rsid w:val="00C27E55"/>
    <w:rsid w:val="00C30109"/>
    <w:rsid w:val="00C46D23"/>
    <w:rsid w:val="00C46DC1"/>
    <w:rsid w:val="00C6008F"/>
    <w:rsid w:val="00C70E43"/>
    <w:rsid w:val="00C73135"/>
    <w:rsid w:val="00C733E7"/>
    <w:rsid w:val="00C74296"/>
    <w:rsid w:val="00C959EF"/>
    <w:rsid w:val="00C97FD1"/>
    <w:rsid w:val="00CA1942"/>
    <w:rsid w:val="00CB0D5D"/>
    <w:rsid w:val="00CC0D0B"/>
    <w:rsid w:val="00CC2FC2"/>
    <w:rsid w:val="00CC6DBF"/>
    <w:rsid w:val="00CD075C"/>
    <w:rsid w:val="00CD144C"/>
    <w:rsid w:val="00CD2923"/>
    <w:rsid w:val="00D0159B"/>
    <w:rsid w:val="00D04513"/>
    <w:rsid w:val="00D07E40"/>
    <w:rsid w:val="00D11792"/>
    <w:rsid w:val="00D20606"/>
    <w:rsid w:val="00D227C2"/>
    <w:rsid w:val="00D33EEA"/>
    <w:rsid w:val="00D35F3A"/>
    <w:rsid w:val="00D4021C"/>
    <w:rsid w:val="00D4155F"/>
    <w:rsid w:val="00D43153"/>
    <w:rsid w:val="00D516F7"/>
    <w:rsid w:val="00D57BC0"/>
    <w:rsid w:val="00D622BA"/>
    <w:rsid w:val="00D63B74"/>
    <w:rsid w:val="00D66D37"/>
    <w:rsid w:val="00D72D2D"/>
    <w:rsid w:val="00D81F78"/>
    <w:rsid w:val="00D82A77"/>
    <w:rsid w:val="00D902D6"/>
    <w:rsid w:val="00D9221C"/>
    <w:rsid w:val="00D94593"/>
    <w:rsid w:val="00DC02EF"/>
    <w:rsid w:val="00DC05F7"/>
    <w:rsid w:val="00DC1058"/>
    <w:rsid w:val="00DD4FA2"/>
    <w:rsid w:val="00DE0863"/>
    <w:rsid w:val="00DF35C0"/>
    <w:rsid w:val="00DF3CAF"/>
    <w:rsid w:val="00DF53FB"/>
    <w:rsid w:val="00E02ADD"/>
    <w:rsid w:val="00E1456B"/>
    <w:rsid w:val="00E14574"/>
    <w:rsid w:val="00E25F77"/>
    <w:rsid w:val="00E3137E"/>
    <w:rsid w:val="00E31B68"/>
    <w:rsid w:val="00E40350"/>
    <w:rsid w:val="00E42172"/>
    <w:rsid w:val="00E450B1"/>
    <w:rsid w:val="00E56278"/>
    <w:rsid w:val="00E56E57"/>
    <w:rsid w:val="00E57798"/>
    <w:rsid w:val="00E66AA9"/>
    <w:rsid w:val="00E73710"/>
    <w:rsid w:val="00E81CB3"/>
    <w:rsid w:val="00E86D62"/>
    <w:rsid w:val="00E87525"/>
    <w:rsid w:val="00E87F40"/>
    <w:rsid w:val="00E91240"/>
    <w:rsid w:val="00E9333C"/>
    <w:rsid w:val="00E942A7"/>
    <w:rsid w:val="00EA23ED"/>
    <w:rsid w:val="00EA26DE"/>
    <w:rsid w:val="00EA26E0"/>
    <w:rsid w:val="00EB721F"/>
    <w:rsid w:val="00EC6936"/>
    <w:rsid w:val="00ED1DF4"/>
    <w:rsid w:val="00EE4F81"/>
    <w:rsid w:val="00EF10FC"/>
    <w:rsid w:val="00EF3F3D"/>
    <w:rsid w:val="00F16CA2"/>
    <w:rsid w:val="00F21A03"/>
    <w:rsid w:val="00F222E7"/>
    <w:rsid w:val="00F23340"/>
    <w:rsid w:val="00F23B9A"/>
    <w:rsid w:val="00F301F8"/>
    <w:rsid w:val="00F4147C"/>
    <w:rsid w:val="00F53056"/>
    <w:rsid w:val="00F61476"/>
    <w:rsid w:val="00F63FF8"/>
    <w:rsid w:val="00F70A50"/>
    <w:rsid w:val="00F72C47"/>
    <w:rsid w:val="00F73FDE"/>
    <w:rsid w:val="00F76910"/>
    <w:rsid w:val="00F86628"/>
    <w:rsid w:val="00F907A0"/>
    <w:rsid w:val="00F95803"/>
    <w:rsid w:val="00FA3D15"/>
    <w:rsid w:val="00FA3D37"/>
    <w:rsid w:val="00FB394A"/>
    <w:rsid w:val="00FB4FE0"/>
    <w:rsid w:val="00FC12F3"/>
    <w:rsid w:val="00FC2D24"/>
    <w:rsid w:val="00FC3F29"/>
    <w:rsid w:val="00FD30CF"/>
    <w:rsid w:val="00FD3288"/>
    <w:rsid w:val="00FD5D42"/>
    <w:rsid w:val="00FD6CCA"/>
    <w:rsid w:val="00FE2CE5"/>
    <w:rsid w:val="00FF7D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1E7F7"/>
  <w15:chartTrackingRefBased/>
  <w15:docId w15:val="{543C24FC-E5DB-4086-88C8-2FCDD325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62AB"/>
  </w:style>
  <w:style w:type="paragraph" w:styleId="berschrift1">
    <w:name w:val="heading 1"/>
    <w:basedOn w:val="Standard"/>
    <w:next w:val="Standard"/>
    <w:link w:val="berschrift1Zchn"/>
    <w:uiPriority w:val="9"/>
    <w:qFormat/>
    <w:rsid w:val="00837EF1"/>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C23DE"/>
    <w:pPr>
      <w:keepNext/>
      <w:keepLines/>
      <w:numPr>
        <w:ilvl w:val="1"/>
        <w:numId w:val="19"/>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C23DE"/>
    <w:pPr>
      <w:keepNext/>
      <w:keepLines/>
      <w:numPr>
        <w:ilvl w:val="2"/>
        <w:numId w:val="19"/>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837EF1"/>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837EF1"/>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837EF1"/>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837EF1"/>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837E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837E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2475"/>
    <w:pPr>
      <w:ind w:left="720"/>
      <w:contextualSpacing/>
    </w:pPr>
  </w:style>
  <w:style w:type="character" w:styleId="Kommentarzeichen">
    <w:name w:val="annotation reference"/>
    <w:basedOn w:val="Absatz-Standardschriftart"/>
    <w:uiPriority w:val="99"/>
    <w:semiHidden/>
    <w:unhideWhenUsed/>
    <w:rsid w:val="00703E8F"/>
    <w:rPr>
      <w:sz w:val="16"/>
      <w:szCs w:val="16"/>
    </w:rPr>
  </w:style>
  <w:style w:type="paragraph" w:customStyle="1" w:styleId="Default">
    <w:name w:val="Default"/>
    <w:rsid w:val="00703E8F"/>
    <w:pPr>
      <w:autoSpaceDE w:val="0"/>
      <w:autoSpaceDN w:val="0"/>
      <w:adjustRightInd w:val="0"/>
      <w:spacing w:after="0" w:line="240" w:lineRule="auto"/>
    </w:pPr>
    <w:rPr>
      <w:rFonts w:ascii="Cambria" w:hAnsi="Cambria" w:cs="Cambria"/>
      <w:color w:val="000000"/>
      <w:sz w:val="24"/>
      <w:szCs w:val="24"/>
      <w:lang w:val="en-GB"/>
    </w:rPr>
  </w:style>
  <w:style w:type="paragraph" w:styleId="Kommentartext">
    <w:name w:val="annotation text"/>
    <w:basedOn w:val="Standard"/>
    <w:link w:val="KommentartextZchn"/>
    <w:uiPriority w:val="99"/>
    <w:unhideWhenUsed/>
    <w:rsid w:val="00B05DFD"/>
    <w:pPr>
      <w:spacing w:line="240" w:lineRule="auto"/>
    </w:pPr>
    <w:rPr>
      <w:sz w:val="20"/>
      <w:szCs w:val="20"/>
    </w:rPr>
  </w:style>
  <w:style w:type="character" w:customStyle="1" w:styleId="KommentartextZchn">
    <w:name w:val="Kommentartext Zchn"/>
    <w:basedOn w:val="Absatz-Standardschriftart"/>
    <w:link w:val="Kommentartext"/>
    <w:uiPriority w:val="99"/>
    <w:rsid w:val="00B05DFD"/>
    <w:rPr>
      <w:sz w:val="20"/>
      <w:szCs w:val="20"/>
    </w:rPr>
  </w:style>
  <w:style w:type="paragraph" w:styleId="Kommentarthema">
    <w:name w:val="annotation subject"/>
    <w:basedOn w:val="Kommentartext"/>
    <w:next w:val="Kommentartext"/>
    <w:link w:val="KommentarthemaZchn"/>
    <w:uiPriority w:val="99"/>
    <w:semiHidden/>
    <w:unhideWhenUsed/>
    <w:rsid w:val="00B05DFD"/>
    <w:rPr>
      <w:b/>
      <w:bCs/>
    </w:rPr>
  </w:style>
  <w:style w:type="character" w:customStyle="1" w:styleId="KommentarthemaZchn">
    <w:name w:val="Kommentarthema Zchn"/>
    <w:basedOn w:val="KommentartextZchn"/>
    <w:link w:val="Kommentarthema"/>
    <w:uiPriority w:val="99"/>
    <w:semiHidden/>
    <w:rsid w:val="00B05DFD"/>
    <w:rPr>
      <w:b/>
      <w:bCs/>
      <w:sz w:val="20"/>
      <w:szCs w:val="20"/>
    </w:rPr>
  </w:style>
  <w:style w:type="paragraph" w:styleId="Sprechblasentext">
    <w:name w:val="Balloon Text"/>
    <w:basedOn w:val="Standard"/>
    <w:link w:val="SprechblasentextZchn"/>
    <w:uiPriority w:val="99"/>
    <w:semiHidden/>
    <w:unhideWhenUsed/>
    <w:rsid w:val="00B05D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5DFD"/>
    <w:rPr>
      <w:rFonts w:ascii="Segoe UI" w:hAnsi="Segoe UI" w:cs="Segoe UI"/>
      <w:sz w:val="18"/>
      <w:szCs w:val="18"/>
    </w:rPr>
  </w:style>
  <w:style w:type="table" w:styleId="Tabellenraster">
    <w:name w:val="Table Grid"/>
    <w:basedOn w:val="NormaleTabelle"/>
    <w:uiPriority w:val="39"/>
    <w:rsid w:val="00F22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294AFB"/>
    <w:pPr>
      <w:spacing w:after="200" w:line="240" w:lineRule="auto"/>
    </w:pPr>
    <w:rPr>
      <w:i/>
      <w:iCs/>
      <w:color w:val="44546A" w:themeColor="text2"/>
      <w:sz w:val="18"/>
      <w:szCs w:val="18"/>
    </w:rPr>
  </w:style>
  <w:style w:type="paragraph" w:styleId="KeinLeerraum">
    <w:name w:val="No Spacing"/>
    <w:uiPriority w:val="1"/>
    <w:qFormat/>
    <w:rsid w:val="00322CC2"/>
    <w:pPr>
      <w:spacing w:after="0" w:line="240" w:lineRule="auto"/>
    </w:pPr>
  </w:style>
  <w:style w:type="character" w:styleId="Hyperlink">
    <w:name w:val="Hyperlink"/>
    <w:basedOn w:val="Absatz-Standardschriftart"/>
    <w:uiPriority w:val="99"/>
    <w:semiHidden/>
    <w:unhideWhenUsed/>
    <w:rsid w:val="000912C3"/>
    <w:rPr>
      <w:color w:val="0000FF"/>
      <w:u w:val="single"/>
    </w:rPr>
  </w:style>
  <w:style w:type="character" w:customStyle="1" w:styleId="berschrift2Zchn">
    <w:name w:val="Überschrift 2 Zchn"/>
    <w:basedOn w:val="Absatz-Standardschriftart"/>
    <w:link w:val="berschrift2"/>
    <w:uiPriority w:val="9"/>
    <w:rsid w:val="009C23DE"/>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9C23DE"/>
    <w:rPr>
      <w:rFonts w:asciiTheme="majorHAnsi" w:eastAsiaTheme="majorEastAsia" w:hAnsiTheme="majorHAnsi" w:cstheme="majorBidi"/>
      <w:color w:val="1F4D78" w:themeColor="accent1" w:themeShade="7F"/>
      <w:sz w:val="24"/>
      <w:szCs w:val="24"/>
    </w:rPr>
  </w:style>
  <w:style w:type="paragraph" w:customStyle="1" w:styleId="IDberschrift1">
    <w:name w:val="ID Überschrift 1"/>
    <w:basedOn w:val="berschrift2"/>
    <w:link w:val="IDberschrift1Zchn"/>
    <w:qFormat/>
    <w:rsid w:val="00685747"/>
    <w:pPr>
      <w:numPr>
        <w:ilvl w:val="0"/>
        <w:numId w:val="15"/>
      </w:numPr>
    </w:pPr>
  </w:style>
  <w:style w:type="character" w:customStyle="1" w:styleId="berschrift1Zchn">
    <w:name w:val="Überschrift 1 Zchn"/>
    <w:basedOn w:val="Absatz-Standardschriftart"/>
    <w:link w:val="berschrift1"/>
    <w:uiPriority w:val="9"/>
    <w:rsid w:val="00837EF1"/>
    <w:rPr>
      <w:rFonts w:asciiTheme="majorHAnsi" w:eastAsiaTheme="majorEastAsia" w:hAnsiTheme="majorHAnsi" w:cstheme="majorBidi"/>
      <w:color w:val="2E74B5" w:themeColor="accent1" w:themeShade="BF"/>
      <w:sz w:val="32"/>
      <w:szCs w:val="32"/>
    </w:rPr>
  </w:style>
  <w:style w:type="character" w:customStyle="1" w:styleId="IDberschrift1Zchn">
    <w:name w:val="ID Überschrift 1 Zchn"/>
    <w:basedOn w:val="berschrift2Zchn"/>
    <w:link w:val="IDberschrift1"/>
    <w:rsid w:val="00685747"/>
    <w:rPr>
      <w:rFonts w:asciiTheme="majorHAnsi" w:eastAsiaTheme="majorEastAsia" w:hAnsiTheme="majorHAnsi" w:cstheme="majorBidi"/>
      <w:color w:val="2E74B5" w:themeColor="accent1" w:themeShade="BF"/>
      <w:sz w:val="26"/>
      <w:szCs w:val="26"/>
    </w:rPr>
  </w:style>
  <w:style w:type="character" w:customStyle="1" w:styleId="berschrift4Zchn">
    <w:name w:val="Überschrift 4 Zchn"/>
    <w:basedOn w:val="Absatz-Standardschriftart"/>
    <w:link w:val="berschrift4"/>
    <w:uiPriority w:val="9"/>
    <w:semiHidden/>
    <w:rsid w:val="00837EF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37EF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37EF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37EF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37EF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37EF1"/>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C04B76"/>
    <w:pPr>
      <w:spacing w:after="0" w:line="240" w:lineRule="auto"/>
    </w:pPr>
  </w:style>
  <w:style w:type="character" w:customStyle="1" w:styleId="hgkelc">
    <w:name w:val="hgkelc"/>
    <w:basedOn w:val="Absatz-Standardschriftart"/>
    <w:rsid w:val="004D1540"/>
  </w:style>
  <w:style w:type="paragraph" w:styleId="Kopfzeile">
    <w:name w:val="header"/>
    <w:basedOn w:val="Standard"/>
    <w:link w:val="KopfzeileZchn"/>
    <w:uiPriority w:val="99"/>
    <w:unhideWhenUsed/>
    <w:rsid w:val="00427F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7F02"/>
  </w:style>
  <w:style w:type="paragraph" w:styleId="Fuzeile">
    <w:name w:val="footer"/>
    <w:basedOn w:val="Standard"/>
    <w:link w:val="FuzeileZchn"/>
    <w:uiPriority w:val="99"/>
    <w:unhideWhenUsed/>
    <w:rsid w:val="00427F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7F02"/>
  </w:style>
  <w:style w:type="paragraph" w:styleId="Titel">
    <w:name w:val="Title"/>
    <w:basedOn w:val="Standard"/>
    <w:next w:val="Standard"/>
    <w:link w:val="TitelZchn"/>
    <w:uiPriority w:val="10"/>
    <w:qFormat/>
    <w:rsid w:val="00427F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27F02"/>
    <w:rPr>
      <w:rFonts w:asciiTheme="majorHAnsi" w:eastAsiaTheme="majorEastAsia" w:hAnsiTheme="majorHAnsi" w:cstheme="majorBidi"/>
      <w:spacing w:val="-10"/>
      <w:kern w:val="28"/>
      <w:sz w:val="56"/>
      <w:szCs w:val="56"/>
    </w:rPr>
  </w:style>
  <w:style w:type="paragraph" w:customStyle="1" w:styleId="Standard8pt">
    <w:name w:val="Standard 8pt"/>
    <w:basedOn w:val="Standard"/>
    <w:qFormat/>
    <w:rsid w:val="002E565F"/>
    <w:pPr>
      <w:spacing w:after="0" w:line="288" w:lineRule="auto"/>
      <w:jc w:val="both"/>
    </w:pPr>
    <w:rPr>
      <w:rFonts w:ascii="Arial" w:eastAsia="Times New Roman" w:hAnsi="Arial" w:cs="Times New Roman"/>
      <w:color w:val="404040" w:themeColor="text1" w:themeTint="BF"/>
      <w:sz w:val="16"/>
      <w:szCs w:val="20"/>
      <w:lang w:val="en-US" w:eastAsia="de-DE"/>
    </w:rPr>
  </w:style>
  <w:style w:type="character" w:styleId="Hervorhebung">
    <w:name w:val="Emphasis"/>
    <w:basedOn w:val="Absatz-Standardschriftart"/>
    <w:uiPriority w:val="20"/>
    <w:qFormat/>
    <w:rsid w:val="002E565F"/>
    <w:rPr>
      <w:i/>
      <w:iCs/>
    </w:rPr>
  </w:style>
  <w:style w:type="paragraph" w:customStyle="1" w:styleId="Standard1">
    <w:name w:val="Standard1"/>
    <w:basedOn w:val="Standard"/>
    <w:rsid w:val="004173D9"/>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7223">
      <w:bodyDiv w:val="1"/>
      <w:marLeft w:val="0"/>
      <w:marRight w:val="0"/>
      <w:marTop w:val="0"/>
      <w:marBottom w:val="0"/>
      <w:divBdr>
        <w:top w:val="none" w:sz="0" w:space="0" w:color="auto"/>
        <w:left w:val="none" w:sz="0" w:space="0" w:color="auto"/>
        <w:bottom w:val="none" w:sz="0" w:space="0" w:color="auto"/>
        <w:right w:val="none" w:sz="0" w:space="0" w:color="auto"/>
      </w:divBdr>
    </w:div>
    <w:div w:id="165216793">
      <w:bodyDiv w:val="1"/>
      <w:marLeft w:val="0"/>
      <w:marRight w:val="0"/>
      <w:marTop w:val="0"/>
      <w:marBottom w:val="0"/>
      <w:divBdr>
        <w:top w:val="none" w:sz="0" w:space="0" w:color="auto"/>
        <w:left w:val="none" w:sz="0" w:space="0" w:color="auto"/>
        <w:bottom w:val="none" w:sz="0" w:space="0" w:color="auto"/>
        <w:right w:val="none" w:sz="0" w:space="0" w:color="auto"/>
      </w:divBdr>
    </w:div>
    <w:div w:id="165675902">
      <w:bodyDiv w:val="1"/>
      <w:marLeft w:val="0"/>
      <w:marRight w:val="0"/>
      <w:marTop w:val="0"/>
      <w:marBottom w:val="0"/>
      <w:divBdr>
        <w:top w:val="none" w:sz="0" w:space="0" w:color="auto"/>
        <w:left w:val="none" w:sz="0" w:space="0" w:color="auto"/>
        <w:bottom w:val="none" w:sz="0" w:space="0" w:color="auto"/>
        <w:right w:val="none" w:sz="0" w:space="0" w:color="auto"/>
      </w:divBdr>
    </w:div>
    <w:div w:id="220292131">
      <w:bodyDiv w:val="1"/>
      <w:marLeft w:val="0"/>
      <w:marRight w:val="0"/>
      <w:marTop w:val="0"/>
      <w:marBottom w:val="0"/>
      <w:divBdr>
        <w:top w:val="none" w:sz="0" w:space="0" w:color="auto"/>
        <w:left w:val="none" w:sz="0" w:space="0" w:color="auto"/>
        <w:bottom w:val="none" w:sz="0" w:space="0" w:color="auto"/>
        <w:right w:val="none" w:sz="0" w:space="0" w:color="auto"/>
      </w:divBdr>
    </w:div>
    <w:div w:id="237329976">
      <w:bodyDiv w:val="1"/>
      <w:marLeft w:val="0"/>
      <w:marRight w:val="0"/>
      <w:marTop w:val="0"/>
      <w:marBottom w:val="0"/>
      <w:divBdr>
        <w:top w:val="none" w:sz="0" w:space="0" w:color="auto"/>
        <w:left w:val="none" w:sz="0" w:space="0" w:color="auto"/>
        <w:bottom w:val="none" w:sz="0" w:space="0" w:color="auto"/>
        <w:right w:val="none" w:sz="0" w:space="0" w:color="auto"/>
      </w:divBdr>
    </w:div>
    <w:div w:id="534317366">
      <w:bodyDiv w:val="1"/>
      <w:marLeft w:val="0"/>
      <w:marRight w:val="0"/>
      <w:marTop w:val="0"/>
      <w:marBottom w:val="0"/>
      <w:divBdr>
        <w:top w:val="none" w:sz="0" w:space="0" w:color="auto"/>
        <w:left w:val="none" w:sz="0" w:space="0" w:color="auto"/>
        <w:bottom w:val="none" w:sz="0" w:space="0" w:color="auto"/>
        <w:right w:val="none" w:sz="0" w:space="0" w:color="auto"/>
      </w:divBdr>
    </w:div>
    <w:div w:id="546841353">
      <w:bodyDiv w:val="1"/>
      <w:marLeft w:val="0"/>
      <w:marRight w:val="0"/>
      <w:marTop w:val="0"/>
      <w:marBottom w:val="0"/>
      <w:divBdr>
        <w:top w:val="none" w:sz="0" w:space="0" w:color="auto"/>
        <w:left w:val="none" w:sz="0" w:space="0" w:color="auto"/>
        <w:bottom w:val="none" w:sz="0" w:space="0" w:color="auto"/>
        <w:right w:val="none" w:sz="0" w:space="0" w:color="auto"/>
      </w:divBdr>
    </w:div>
    <w:div w:id="557395929">
      <w:bodyDiv w:val="1"/>
      <w:marLeft w:val="0"/>
      <w:marRight w:val="0"/>
      <w:marTop w:val="0"/>
      <w:marBottom w:val="0"/>
      <w:divBdr>
        <w:top w:val="none" w:sz="0" w:space="0" w:color="auto"/>
        <w:left w:val="none" w:sz="0" w:space="0" w:color="auto"/>
        <w:bottom w:val="none" w:sz="0" w:space="0" w:color="auto"/>
        <w:right w:val="none" w:sz="0" w:space="0" w:color="auto"/>
      </w:divBdr>
    </w:div>
    <w:div w:id="560487158">
      <w:bodyDiv w:val="1"/>
      <w:marLeft w:val="0"/>
      <w:marRight w:val="0"/>
      <w:marTop w:val="0"/>
      <w:marBottom w:val="0"/>
      <w:divBdr>
        <w:top w:val="none" w:sz="0" w:space="0" w:color="auto"/>
        <w:left w:val="none" w:sz="0" w:space="0" w:color="auto"/>
        <w:bottom w:val="none" w:sz="0" w:space="0" w:color="auto"/>
        <w:right w:val="none" w:sz="0" w:space="0" w:color="auto"/>
      </w:divBdr>
    </w:div>
    <w:div w:id="707489914">
      <w:bodyDiv w:val="1"/>
      <w:marLeft w:val="0"/>
      <w:marRight w:val="0"/>
      <w:marTop w:val="0"/>
      <w:marBottom w:val="0"/>
      <w:divBdr>
        <w:top w:val="none" w:sz="0" w:space="0" w:color="auto"/>
        <w:left w:val="none" w:sz="0" w:space="0" w:color="auto"/>
        <w:bottom w:val="none" w:sz="0" w:space="0" w:color="auto"/>
        <w:right w:val="none" w:sz="0" w:space="0" w:color="auto"/>
      </w:divBdr>
    </w:div>
    <w:div w:id="709569644">
      <w:bodyDiv w:val="1"/>
      <w:marLeft w:val="0"/>
      <w:marRight w:val="0"/>
      <w:marTop w:val="0"/>
      <w:marBottom w:val="0"/>
      <w:divBdr>
        <w:top w:val="none" w:sz="0" w:space="0" w:color="auto"/>
        <w:left w:val="none" w:sz="0" w:space="0" w:color="auto"/>
        <w:bottom w:val="none" w:sz="0" w:space="0" w:color="auto"/>
        <w:right w:val="none" w:sz="0" w:space="0" w:color="auto"/>
      </w:divBdr>
    </w:div>
    <w:div w:id="720052830">
      <w:bodyDiv w:val="1"/>
      <w:marLeft w:val="0"/>
      <w:marRight w:val="0"/>
      <w:marTop w:val="0"/>
      <w:marBottom w:val="0"/>
      <w:divBdr>
        <w:top w:val="none" w:sz="0" w:space="0" w:color="auto"/>
        <w:left w:val="none" w:sz="0" w:space="0" w:color="auto"/>
        <w:bottom w:val="none" w:sz="0" w:space="0" w:color="auto"/>
        <w:right w:val="none" w:sz="0" w:space="0" w:color="auto"/>
      </w:divBdr>
    </w:div>
    <w:div w:id="730926524">
      <w:bodyDiv w:val="1"/>
      <w:marLeft w:val="0"/>
      <w:marRight w:val="0"/>
      <w:marTop w:val="0"/>
      <w:marBottom w:val="0"/>
      <w:divBdr>
        <w:top w:val="none" w:sz="0" w:space="0" w:color="auto"/>
        <w:left w:val="none" w:sz="0" w:space="0" w:color="auto"/>
        <w:bottom w:val="none" w:sz="0" w:space="0" w:color="auto"/>
        <w:right w:val="none" w:sz="0" w:space="0" w:color="auto"/>
      </w:divBdr>
    </w:div>
    <w:div w:id="741366032">
      <w:bodyDiv w:val="1"/>
      <w:marLeft w:val="0"/>
      <w:marRight w:val="0"/>
      <w:marTop w:val="0"/>
      <w:marBottom w:val="0"/>
      <w:divBdr>
        <w:top w:val="none" w:sz="0" w:space="0" w:color="auto"/>
        <w:left w:val="none" w:sz="0" w:space="0" w:color="auto"/>
        <w:bottom w:val="none" w:sz="0" w:space="0" w:color="auto"/>
        <w:right w:val="none" w:sz="0" w:space="0" w:color="auto"/>
      </w:divBdr>
    </w:div>
    <w:div w:id="750274035">
      <w:bodyDiv w:val="1"/>
      <w:marLeft w:val="0"/>
      <w:marRight w:val="0"/>
      <w:marTop w:val="0"/>
      <w:marBottom w:val="0"/>
      <w:divBdr>
        <w:top w:val="none" w:sz="0" w:space="0" w:color="auto"/>
        <w:left w:val="none" w:sz="0" w:space="0" w:color="auto"/>
        <w:bottom w:val="none" w:sz="0" w:space="0" w:color="auto"/>
        <w:right w:val="none" w:sz="0" w:space="0" w:color="auto"/>
      </w:divBdr>
    </w:div>
    <w:div w:id="777991206">
      <w:bodyDiv w:val="1"/>
      <w:marLeft w:val="0"/>
      <w:marRight w:val="0"/>
      <w:marTop w:val="0"/>
      <w:marBottom w:val="0"/>
      <w:divBdr>
        <w:top w:val="none" w:sz="0" w:space="0" w:color="auto"/>
        <w:left w:val="none" w:sz="0" w:space="0" w:color="auto"/>
        <w:bottom w:val="none" w:sz="0" w:space="0" w:color="auto"/>
        <w:right w:val="none" w:sz="0" w:space="0" w:color="auto"/>
      </w:divBdr>
    </w:div>
    <w:div w:id="1009796943">
      <w:bodyDiv w:val="1"/>
      <w:marLeft w:val="0"/>
      <w:marRight w:val="0"/>
      <w:marTop w:val="0"/>
      <w:marBottom w:val="0"/>
      <w:divBdr>
        <w:top w:val="none" w:sz="0" w:space="0" w:color="auto"/>
        <w:left w:val="none" w:sz="0" w:space="0" w:color="auto"/>
        <w:bottom w:val="none" w:sz="0" w:space="0" w:color="auto"/>
        <w:right w:val="none" w:sz="0" w:space="0" w:color="auto"/>
      </w:divBdr>
    </w:div>
    <w:div w:id="1025013582">
      <w:bodyDiv w:val="1"/>
      <w:marLeft w:val="0"/>
      <w:marRight w:val="0"/>
      <w:marTop w:val="0"/>
      <w:marBottom w:val="0"/>
      <w:divBdr>
        <w:top w:val="none" w:sz="0" w:space="0" w:color="auto"/>
        <w:left w:val="none" w:sz="0" w:space="0" w:color="auto"/>
        <w:bottom w:val="none" w:sz="0" w:space="0" w:color="auto"/>
        <w:right w:val="none" w:sz="0" w:space="0" w:color="auto"/>
      </w:divBdr>
    </w:div>
    <w:div w:id="1038432277">
      <w:bodyDiv w:val="1"/>
      <w:marLeft w:val="0"/>
      <w:marRight w:val="0"/>
      <w:marTop w:val="0"/>
      <w:marBottom w:val="0"/>
      <w:divBdr>
        <w:top w:val="none" w:sz="0" w:space="0" w:color="auto"/>
        <w:left w:val="none" w:sz="0" w:space="0" w:color="auto"/>
        <w:bottom w:val="none" w:sz="0" w:space="0" w:color="auto"/>
        <w:right w:val="none" w:sz="0" w:space="0" w:color="auto"/>
      </w:divBdr>
    </w:div>
    <w:div w:id="1267736215">
      <w:bodyDiv w:val="1"/>
      <w:marLeft w:val="0"/>
      <w:marRight w:val="0"/>
      <w:marTop w:val="0"/>
      <w:marBottom w:val="0"/>
      <w:divBdr>
        <w:top w:val="none" w:sz="0" w:space="0" w:color="auto"/>
        <w:left w:val="none" w:sz="0" w:space="0" w:color="auto"/>
        <w:bottom w:val="none" w:sz="0" w:space="0" w:color="auto"/>
        <w:right w:val="none" w:sz="0" w:space="0" w:color="auto"/>
      </w:divBdr>
    </w:div>
    <w:div w:id="1278951307">
      <w:bodyDiv w:val="1"/>
      <w:marLeft w:val="0"/>
      <w:marRight w:val="0"/>
      <w:marTop w:val="0"/>
      <w:marBottom w:val="0"/>
      <w:divBdr>
        <w:top w:val="none" w:sz="0" w:space="0" w:color="auto"/>
        <w:left w:val="none" w:sz="0" w:space="0" w:color="auto"/>
        <w:bottom w:val="none" w:sz="0" w:space="0" w:color="auto"/>
        <w:right w:val="none" w:sz="0" w:space="0" w:color="auto"/>
      </w:divBdr>
    </w:div>
    <w:div w:id="1289581076">
      <w:bodyDiv w:val="1"/>
      <w:marLeft w:val="0"/>
      <w:marRight w:val="0"/>
      <w:marTop w:val="0"/>
      <w:marBottom w:val="0"/>
      <w:divBdr>
        <w:top w:val="none" w:sz="0" w:space="0" w:color="auto"/>
        <w:left w:val="none" w:sz="0" w:space="0" w:color="auto"/>
        <w:bottom w:val="none" w:sz="0" w:space="0" w:color="auto"/>
        <w:right w:val="none" w:sz="0" w:space="0" w:color="auto"/>
      </w:divBdr>
    </w:div>
    <w:div w:id="1383752878">
      <w:bodyDiv w:val="1"/>
      <w:marLeft w:val="0"/>
      <w:marRight w:val="0"/>
      <w:marTop w:val="0"/>
      <w:marBottom w:val="0"/>
      <w:divBdr>
        <w:top w:val="none" w:sz="0" w:space="0" w:color="auto"/>
        <w:left w:val="none" w:sz="0" w:space="0" w:color="auto"/>
        <w:bottom w:val="none" w:sz="0" w:space="0" w:color="auto"/>
        <w:right w:val="none" w:sz="0" w:space="0" w:color="auto"/>
      </w:divBdr>
    </w:div>
    <w:div w:id="1539320938">
      <w:bodyDiv w:val="1"/>
      <w:marLeft w:val="0"/>
      <w:marRight w:val="0"/>
      <w:marTop w:val="0"/>
      <w:marBottom w:val="0"/>
      <w:divBdr>
        <w:top w:val="none" w:sz="0" w:space="0" w:color="auto"/>
        <w:left w:val="none" w:sz="0" w:space="0" w:color="auto"/>
        <w:bottom w:val="none" w:sz="0" w:space="0" w:color="auto"/>
        <w:right w:val="none" w:sz="0" w:space="0" w:color="auto"/>
      </w:divBdr>
    </w:div>
    <w:div w:id="1584610610">
      <w:bodyDiv w:val="1"/>
      <w:marLeft w:val="0"/>
      <w:marRight w:val="0"/>
      <w:marTop w:val="0"/>
      <w:marBottom w:val="0"/>
      <w:divBdr>
        <w:top w:val="none" w:sz="0" w:space="0" w:color="auto"/>
        <w:left w:val="none" w:sz="0" w:space="0" w:color="auto"/>
        <w:bottom w:val="none" w:sz="0" w:space="0" w:color="auto"/>
        <w:right w:val="none" w:sz="0" w:space="0" w:color="auto"/>
      </w:divBdr>
    </w:div>
    <w:div w:id="1587032747">
      <w:bodyDiv w:val="1"/>
      <w:marLeft w:val="0"/>
      <w:marRight w:val="0"/>
      <w:marTop w:val="0"/>
      <w:marBottom w:val="0"/>
      <w:divBdr>
        <w:top w:val="none" w:sz="0" w:space="0" w:color="auto"/>
        <w:left w:val="none" w:sz="0" w:space="0" w:color="auto"/>
        <w:bottom w:val="none" w:sz="0" w:space="0" w:color="auto"/>
        <w:right w:val="none" w:sz="0" w:space="0" w:color="auto"/>
      </w:divBdr>
    </w:div>
    <w:div w:id="1878077820">
      <w:bodyDiv w:val="1"/>
      <w:marLeft w:val="0"/>
      <w:marRight w:val="0"/>
      <w:marTop w:val="0"/>
      <w:marBottom w:val="0"/>
      <w:divBdr>
        <w:top w:val="none" w:sz="0" w:space="0" w:color="auto"/>
        <w:left w:val="none" w:sz="0" w:space="0" w:color="auto"/>
        <w:bottom w:val="none" w:sz="0" w:space="0" w:color="auto"/>
        <w:right w:val="none" w:sz="0" w:space="0" w:color="auto"/>
      </w:divBdr>
    </w:div>
    <w:div w:id="1923635621">
      <w:bodyDiv w:val="1"/>
      <w:marLeft w:val="0"/>
      <w:marRight w:val="0"/>
      <w:marTop w:val="0"/>
      <w:marBottom w:val="0"/>
      <w:divBdr>
        <w:top w:val="none" w:sz="0" w:space="0" w:color="auto"/>
        <w:left w:val="none" w:sz="0" w:space="0" w:color="auto"/>
        <w:bottom w:val="none" w:sz="0" w:space="0" w:color="auto"/>
        <w:right w:val="none" w:sz="0" w:space="0" w:color="auto"/>
      </w:divBdr>
    </w:div>
    <w:div w:id="1983775218">
      <w:bodyDiv w:val="1"/>
      <w:marLeft w:val="0"/>
      <w:marRight w:val="0"/>
      <w:marTop w:val="0"/>
      <w:marBottom w:val="0"/>
      <w:divBdr>
        <w:top w:val="none" w:sz="0" w:space="0" w:color="auto"/>
        <w:left w:val="none" w:sz="0" w:space="0" w:color="auto"/>
        <w:bottom w:val="none" w:sz="0" w:space="0" w:color="auto"/>
        <w:right w:val="none" w:sz="0" w:space="0" w:color="auto"/>
      </w:divBdr>
    </w:div>
    <w:div w:id="2025135366">
      <w:bodyDiv w:val="1"/>
      <w:marLeft w:val="0"/>
      <w:marRight w:val="0"/>
      <w:marTop w:val="0"/>
      <w:marBottom w:val="0"/>
      <w:divBdr>
        <w:top w:val="none" w:sz="0" w:space="0" w:color="auto"/>
        <w:left w:val="none" w:sz="0" w:space="0" w:color="auto"/>
        <w:bottom w:val="none" w:sz="0" w:space="0" w:color="auto"/>
        <w:right w:val="none" w:sz="0" w:space="0" w:color="auto"/>
      </w:divBdr>
    </w:div>
    <w:div w:id="20480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C025B-5895-405A-97F0-9559E3989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2641</Words>
  <Characters>15059</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Uniklinik Bonn</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Dr. Jens</dc:creator>
  <cp:keywords/>
  <dc:description/>
  <cp:lastModifiedBy>Isabel Dombrink</cp:lastModifiedBy>
  <cp:revision>6</cp:revision>
  <dcterms:created xsi:type="dcterms:W3CDTF">2022-01-03T10:05:00Z</dcterms:created>
  <dcterms:modified xsi:type="dcterms:W3CDTF">2022-01-13T12:27:00Z</dcterms:modified>
</cp:coreProperties>
</file>